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5D" w:rsidRPr="00F4335D" w:rsidRDefault="00F4335D" w:rsidP="00F4335D">
      <w:pPr>
        <w:spacing w:after="0" w:line="240" w:lineRule="auto"/>
        <w:ind w:left="6237" w:right="-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z48"/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</w:t>
      </w:r>
    </w:p>
    <w:p w:rsidR="00F4335D" w:rsidRPr="00F4335D" w:rsidRDefault="00F4335D" w:rsidP="00F4335D">
      <w:pPr>
        <w:spacing w:after="0" w:line="240" w:lineRule="auto"/>
        <w:ind w:left="6237" w:right="-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Правилам присвоения</w:t>
      </w:r>
    </w:p>
    <w:p w:rsidR="00F4335D" w:rsidRPr="00F4335D" w:rsidRDefault="00F4335D" w:rsidP="00F4335D">
      <w:pPr>
        <w:spacing w:after="0" w:line="240" w:lineRule="auto"/>
        <w:ind w:left="6237" w:right="-567" w:firstLine="28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ученых званий (ассоциированный</w:t>
      </w:r>
      <w:proofErr w:type="gramEnd"/>
    </w:p>
    <w:p w:rsidR="00F4335D" w:rsidRPr="00F4335D" w:rsidRDefault="00F4335D" w:rsidP="00F4335D">
      <w:pPr>
        <w:spacing w:after="0" w:line="240" w:lineRule="auto"/>
        <w:ind w:left="6237" w:right="-567" w:firstLine="28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профессор (доцент), профессор)</w:t>
      </w: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</w:t>
      </w: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z49"/>
      <w:bookmarkEnd w:id="0"/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</w:rPr>
        <w:t>о соискателе ученого звания ассоциированного профессора</w:t>
      </w: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научному направлению </w:t>
      </w:r>
      <w:r w:rsidRPr="00F4335D">
        <w:rPr>
          <w:rFonts w:ascii="Times New Roman" w:eastAsia="Times New Roman" w:hAnsi="Times New Roman" w:cs="Times New Roman"/>
          <w:sz w:val="24"/>
          <w:szCs w:val="24"/>
        </w:rPr>
        <w:t>10200 - Физические науки</w:t>
      </w: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4335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(шифр и наименование специальности)</w:t>
      </w:r>
    </w:p>
    <w:p w:rsidR="00F4335D" w:rsidRPr="00F4335D" w:rsidRDefault="00F4335D" w:rsidP="00F4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3537"/>
        <w:gridCol w:w="6237"/>
      </w:tblGrid>
      <w:tr w:rsidR="00F4335D" w:rsidRPr="00F4335D" w:rsidTr="008D24C2">
        <w:trPr>
          <w:trHeight w:val="48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Гульден Сериковна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 (кандидата наук, доктора наук,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образовательной программе  6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060400-Физика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00022272388, решение КОКСОН МОН РК от        3 марта 2022 года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приказ № 89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Исполнитель обязанности заведующего кафедрой физики и нанотехнологий КарУ имени академика Е.А. Букетова (приказ № 83-л/с от 05.05.2022 г.).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 Ассоциированный профессор кафедры физики и нанотехнологий КарУ имени академика Е.А.Букетова (приказ № 330-л/с от 01.09.2022 г.).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Заведующий кафедрой физики и нанотехнологий КарУ имени академика Е.А. Букетова (приказ № 196-л/с от 05.06.2023 г.).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18 лет, 5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месяца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в должности ассоциированного профессора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года, 7 месяца.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50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21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научных журналах 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ненулевым импакт-фактором, индексируемых по БД SCOPUS и/или Web of Science – 5;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в списках изданий, рекомендованных КОКСНВО РК – 8;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авторские свидетельства – 4;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в материалах международных научных конференциях – 3.</w:t>
            </w:r>
          </w:p>
        </w:tc>
        <w:bookmarkEnd w:id="2"/>
      </w:tr>
      <w:tr w:rsidR="00F4335D" w:rsidRPr="00F4335D" w:rsidTr="008D24C2">
        <w:trPr>
          <w:trHeight w:val="202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Количество, изданных за 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последние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tabs>
                <w:tab w:val="left" w:pos="335"/>
              </w:tabs>
              <w:spacing w:after="0"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1 монографи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(единоличная):</w:t>
            </w:r>
          </w:p>
          <w:p w:rsidR="00F4335D" w:rsidRPr="00F4335D" w:rsidRDefault="00F4335D" w:rsidP="00F4335D">
            <w:pPr>
              <w:tabs>
                <w:tab w:val="left" w:pos="335"/>
              </w:tabs>
              <w:spacing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«Металл нанобөлшектерінің плазмондық өрісіндегі «жартылай өткізгіш/бояғыш» гетероқұрылымдарында заряд пен энергия тасымалдануының ерекшеліктері»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– Қарағанды: «Академик Е.А.Бөкетов атындағы Қарағанды ұлттық зерттеу университеті баспасы», 2026. –124 б.</w:t>
            </w:r>
          </w:p>
          <w:p w:rsidR="00F4335D" w:rsidRPr="00F4335D" w:rsidRDefault="00F4335D" w:rsidP="00F4335D">
            <w:pPr>
              <w:tabs>
                <w:tab w:val="left" w:pos="335"/>
              </w:tabs>
              <w:spacing w:line="240" w:lineRule="auto"/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ISBN 978-601-362-419-8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доктора по профилю) или академическая степень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Бүлкенов С.М.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Международного профессионально-исследовательского конкурса «Педагогический приоритет – 2022» (31 октября 2022 г., г. Петрозаводск, Россия).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Сауытжан К.Қ.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Международного научно-исследовательского конкурса «Молодежь и наука – 2022» (26 октября 2022 г., г. Петрозаводск, Россия).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Бүлкенов С.М.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в номинации «Оригинальность идеи» Региональной научно-практической конференции магистрантов и студентов «Букетовские чтения-2023» (КарУ им. Е. А. Букетова, 2023 г. г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араганда, Казахстан).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Жеңіс А.Д., Сауытжан К.Қ.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в номинации «Практическая значимость работы» Региональной научно-практической конференции магистрантов и студентов «Букетовские чтения-2024» (КарУ им. Е. А. Букетова, 2024 г., г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араганда, Казахстан).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Әкім Г.Б.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Республиканской предметной олимпиады среди студентов, обучающихся по образовательной программе «6В053-Физика» в высших учебных заведениях Республики Казахстан (Кокшетауский университет имени Ш. 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Уалиханова, 22-23 апреля 2025 г., г. Кокшетау, Казахстан).</w:t>
            </w:r>
            <w:proofErr w:type="gramEnd"/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Кошкинбаева М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Республиканской предметной олимпиады среди студентов, обучающихся по образовательной программе «6В053-Физика» в высших учебных заведениях Республики Казахстан (Кокшетауский университет имени Ш. Уалиханова, 22-23 апреля 2025 г., г. Кокшетау, Казахстан).</w:t>
            </w:r>
          </w:p>
          <w:p w:rsidR="00F4335D" w:rsidRPr="00F4335D" w:rsidRDefault="00F4335D" w:rsidP="00F4335D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Бердикалова А.К. и Ермек Н.Б. </w:t>
            </w:r>
            <w:r w:rsidRPr="00F43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по естественно-научному направлению в Республиканском конкурсе лучших научно-исследовательских работ студентов по образовательной программе 6В05304 «Физика» (2025 г., г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стана, Казахстан)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  <w:tr w:rsidR="00F4335D" w:rsidRPr="00F4335D" w:rsidTr="008D24C2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Дополнительная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35D" w:rsidRPr="00F4335D" w:rsidRDefault="00F4335D" w:rsidP="00F4335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Почетная грамота Акима города Караганды (2022г.)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Обладатель ежегодной университетской именной премии имени д.п.н., профессора К. М. Арынгазина (2024г.);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Почетный диплом министра «Ғылым үздігі» (2025г.)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Исполнитель республиканских научных проектов, финансируемых комитетом науки МНиВО РК: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АР09259913 «</w:t>
            </w:r>
            <w:proofErr w:type="gramStart"/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</w:t>
            </w:r>
            <w:proofErr w:type="gramEnd"/>
            <w:r w:rsidRPr="00F43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наноматериалы на основе углеродных квантовых точек»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(2021-2023гг.);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Научный руководитель грантового проекта: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AP19680241 «Исследование переноса заряда и энергии на интерфейсе "полупроводник/краситель" в плазмонном поле наночастиц металлов»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(2023-2025гг.).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</w:rPr>
              <w:t>-  В период с 11 по 31 октября 2025 года проходила научную стажировку в Университете Шихэцзы (Китайская Народная Республика).</w:t>
            </w:r>
          </w:p>
          <w:p w:rsidR="00F4335D" w:rsidRPr="00F4335D" w:rsidRDefault="00F4335D" w:rsidP="00F4335D">
            <w:pPr>
              <w:tabs>
                <w:tab w:val="left" w:pos="134"/>
                <w:tab w:val="left" w:pos="222"/>
                <w:tab w:val="left" w:pos="377"/>
              </w:tabs>
              <w:spacing w:after="0" w:line="240" w:lineRule="auto"/>
              <w:ind w:lef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-index: 6 (Scopus),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F433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</w:tbl>
    <w:p w:rsidR="00F4335D" w:rsidRPr="00F4335D" w:rsidRDefault="00F4335D" w:rsidP="00F4335D">
      <w:pPr>
        <w:spacing w:before="360" w:after="0" w:line="240" w:lineRule="auto"/>
        <w:ind w:right="-709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4335D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Декан физико-технического факультета</w:t>
      </w:r>
      <w:r w:rsidRPr="00F4335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F4335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F4335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F4335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Сериков Т.М.</w:t>
      </w:r>
    </w:p>
    <w:p w:rsidR="00F4335D" w:rsidRPr="00F4335D" w:rsidRDefault="00F4335D" w:rsidP="00F4335D">
      <w:pPr>
        <w:spacing w:before="360" w:after="0" w:line="240" w:lineRule="auto"/>
        <w:ind w:right="-709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7D12" w:rsidRPr="00F4335D" w:rsidRDefault="009A7D12">
      <w:pPr>
        <w:rPr>
          <w:lang w:val="kk-KZ"/>
        </w:rPr>
      </w:pPr>
      <w:bookmarkStart w:id="3" w:name="_GoBack"/>
      <w:bookmarkEnd w:id="3"/>
    </w:p>
    <w:sectPr w:rsidR="009A7D12" w:rsidRPr="00F4335D" w:rsidSect="0045530E">
      <w:pgSz w:w="11907" w:h="16839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05"/>
    <w:rsid w:val="00187E05"/>
    <w:rsid w:val="009A7D12"/>
    <w:rsid w:val="00F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2026-03-20T10:28:00Z</dcterms:created>
  <dcterms:modified xsi:type="dcterms:W3CDTF">2026-03-20T10:28:00Z</dcterms:modified>
</cp:coreProperties>
</file>