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FC02" w14:textId="4A16A715" w:rsidR="008B5A94" w:rsidRPr="0045530E" w:rsidRDefault="008B5A94" w:rsidP="007C492F">
      <w:pPr>
        <w:spacing w:after="0" w:line="240" w:lineRule="auto"/>
        <w:ind w:left="6237" w:right="-567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bookmarkStart w:id="0" w:name="z48"/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Приложение 1</w:t>
      </w:r>
    </w:p>
    <w:p w14:paraId="37A899C4" w14:textId="77777777" w:rsidR="007C492F" w:rsidRPr="0045530E" w:rsidRDefault="00A91DA1" w:rsidP="007C492F">
      <w:pPr>
        <w:spacing w:after="0" w:line="240" w:lineRule="auto"/>
        <w:ind w:left="6237" w:right="-567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к Правилам присвоения</w:t>
      </w:r>
    </w:p>
    <w:p w14:paraId="5A1FC127" w14:textId="77777777" w:rsidR="007C492F" w:rsidRPr="0045530E" w:rsidRDefault="008B5A94" w:rsidP="007C492F">
      <w:pPr>
        <w:spacing w:after="0" w:line="240" w:lineRule="auto"/>
        <w:ind w:left="6237" w:right="-567" w:firstLine="284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ученых званий</w:t>
      </w:r>
      <w:r w:rsidR="007C492F" w:rsidRPr="0045530E">
        <w:rPr>
          <w:color w:val="000000"/>
          <w:sz w:val="24"/>
          <w:szCs w:val="24"/>
          <w:shd w:val="clear" w:color="auto" w:fill="FFFFFF"/>
          <w:lang w:val="ru-RU"/>
        </w:rPr>
        <w:t xml:space="preserve"> (а</w:t>
      </w:r>
      <w:r w:rsidRPr="0045530E">
        <w:rPr>
          <w:color w:val="000000"/>
          <w:sz w:val="24"/>
          <w:szCs w:val="24"/>
          <w:shd w:val="clear" w:color="auto" w:fill="FFFFFF"/>
          <w:lang w:val="ru-RU"/>
        </w:rPr>
        <w:t>ссоциированный</w:t>
      </w:r>
    </w:p>
    <w:p w14:paraId="0F41E3EA" w14:textId="77777777" w:rsidR="008B5A94" w:rsidRPr="0045530E" w:rsidRDefault="00A91DA1" w:rsidP="007C492F">
      <w:pPr>
        <w:spacing w:after="0" w:line="240" w:lineRule="auto"/>
        <w:ind w:left="6237" w:right="-567" w:firstLine="284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профессор (доцент), профессор)</w:t>
      </w:r>
    </w:p>
    <w:p w14:paraId="6DD14D50" w14:textId="77777777" w:rsidR="00564766" w:rsidRPr="0045530E" w:rsidRDefault="00564766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</w:p>
    <w:p w14:paraId="118FF6F1" w14:textId="77777777" w:rsidR="003607E8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>Справка</w:t>
      </w:r>
    </w:p>
    <w:p w14:paraId="5B013F36" w14:textId="77777777" w:rsidR="00427FE8" w:rsidRPr="0045530E" w:rsidRDefault="00BB031D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bookmarkStart w:id="1" w:name="z49"/>
      <w:bookmarkEnd w:id="0"/>
      <w:r w:rsidRPr="0045530E">
        <w:rPr>
          <w:color w:val="000000"/>
          <w:sz w:val="24"/>
          <w:szCs w:val="24"/>
          <w:lang w:val="ru-RU"/>
        </w:rPr>
        <w:t>о соискателе ученого звания</w:t>
      </w:r>
      <w:r w:rsidR="00E45264" w:rsidRPr="0045530E">
        <w:rPr>
          <w:color w:val="000000"/>
          <w:sz w:val="24"/>
          <w:szCs w:val="24"/>
          <w:lang w:val="ru-RU"/>
        </w:rPr>
        <w:t xml:space="preserve"> </w:t>
      </w:r>
      <w:r w:rsidR="00035812" w:rsidRPr="006F20E6">
        <w:rPr>
          <w:color w:val="000000"/>
          <w:sz w:val="24"/>
          <w:szCs w:val="24"/>
          <w:u w:val="single"/>
          <w:lang w:val="ru-RU"/>
        </w:rPr>
        <w:t>ассоциированн</w:t>
      </w:r>
      <w:r w:rsidR="00191051" w:rsidRPr="006F20E6">
        <w:rPr>
          <w:color w:val="000000"/>
          <w:sz w:val="24"/>
          <w:szCs w:val="24"/>
          <w:u w:val="single"/>
          <w:lang w:val="ru-RU"/>
        </w:rPr>
        <w:t>ого</w:t>
      </w:r>
      <w:r w:rsidR="00E45264" w:rsidRPr="006F20E6">
        <w:rPr>
          <w:color w:val="000000"/>
          <w:sz w:val="24"/>
          <w:szCs w:val="24"/>
          <w:u w:val="single"/>
          <w:lang w:val="ru-RU"/>
        </w:rPr>
        <w:t xml:space="preserve"> </w:t>
      </w:r>
      <w:r w:rsidR="0090702A" w:rsidRPr="006F20E6">
        <w:rPr>
          <w:color w:val="000000"/>
          <w:sz w:val="24"/>
          <w:szCs w:val="24"/>
          <w:u w:val="single"/>
          <w:lang w:val="ru-RU"/>
        </w:rPr>
        <w:t>профессор</w:t>
      </w:r>
      <w:r w:rsidR="00191051" w:rsidRPr="006F20E6">
        <w:rPr>
          <w:color w:val="000000"/>
          <w:sz w:val="24"/>
          <w:szCs w:val="24"/>
          <w:u w:val="single"/>
          <w:lang w:val="ru-RU"/>
        </w:rPr>
        <w:t>а</w:t>
      </w:r>
    </w:p>
    <w:p w14:paraId="59E2D547" w14:textId="4977F599" w:rsidR="00C14456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 xml:space="preserve">по </w:t>
      </w:r>
      <w:r w:rsidR="007B2995" w:rsidRPr="0045530E">
        <w:rPr>
          <w:color w:val="000000"/>
          <w:sz w:val="24"/>
          <w:szCs w:val="24"/>
          <w:lang w:val="ru-RU"/>
        </w:rPr>
        <w:t>научному</w:t>
      </w:r>
      <w:r w:rsidR="007952C4" w:rsidRPr="0045530E">
        <w:rPr>
          <w:color w:val="000000"/>
          <w:sz w:val="24"/>
          <w:szCs w:val="24"/>
          <w:lang w:val="kk-KZ"/>
        </w:rPr>
        <w:t xml:space="preserve"> </w:t>
      </w:r>
      <w:r w:rsidR="007B2995" w:rsidRPr="0045530E">
        <w:rPr>
          <w:color w:val="000000"/>
          <w:sz w:val="24"/>
          <w:szCs w:val="24"/>
          <w:lang w:val="ru-RU"/>
        </w:rPr>
        <w:t>направлению</w:t>
      </w:r>
      <w:r w:rsidR="00A832D2" w:rsidRPr="0045530E">
        <w:rPr>
          <w:color w:val="000000"/>
          <w:sz w:val="24"/>
          <w:szCs w:val="24"/>
          <w:lang w:val="ru-RU"/>
        </w:rPr>
        <w:t xml:space="preserve"> </w:t>
      </w:r>
      <w:r w:rsidR="004E2B6A" w:rsidRPr="0045530E">
        <w:rPr>
          <w:sz w:val="24"/>
          <w:szCs w:val="24"/>
          <w:lang w:val="ru-RU"/>
        </w:rPr>
        <w:t>10</w:t>
      </w:r>
      <w:r w:rsidR="00D61F64">
        <w:rPr>
          <w:sz w:val="24"/>
          <w:szCs w:val="24"/>
          <w:lang w:val="ru-RU"/>
        </w:rPr>
        <w:t>3</w:t>
      </w:r>
      <w:r w:rsidR="00CD333B" w:rsidRPr="0045530E">
        <w:rPr>
          <w:sz w:val="24"/>
          <w:szCs w:val="24"/>
          <w:lang w:val="ru-RU"/>
        </w:rPr>
        <w:t>00 «</w:t>
      </w:r>
      <w:r w:rsidR="00D61F64">
        <w:rPr>
          <w:sz w:val="24"/>
          <w:szCs w:val="24"/>
          <w:lang w:val="ru-RU"/>
        </w:rPr>
        <w:t>Химические науки</w:t>
      </w:r>
      <w:r w:rsidR="00CD333B" w:rsidRPr="0045530E">
        <w:rPr>
          <w:sz w:val="24"/>
          <w:szCs w:val="24"/>
          <w:lang w:val="ru-RU"/>
        </w:rPr>
        <w:t>»</w:t>
      </w:r>
    </w:p>
    <w:p w14:paraId="6E1CFCC0" w14:textId="451F9A82" w:rsidR="007C492F" w:rsidRPr="0045530E" w:rsidRDefault="007C492F" w:rsidP="007C492F">
      <w:pPr>
        <w:spacing w:after="0" w:line="240" w:lineRule="auto"/>
        <w:jc w:val="center"/>
        <w:rPr>
          <w:bCs/>
          <w:color w:val="000000"/>
          <w:sz w:val="20"/>
          <w:szCs w:val="20"/>
          <w:lang w:val="ru-RU"/>
        </w:rPr>
      </w:pPr>
    </w:p>
    <w:p w14:paraId="69194A88" w14:textId="502D249F" w:rsidR="00A02602" w:rsidRDefault="00A02602" w:rsidP="00932E70">
      <w:pPr>
        <w:spacing w:after="0" w:line="240" w:lineRule="auto"/>
        <w:jc w:val="center"/>
        <w:rPr>
          <w:color w:val="000000"/>
          <w:lang w:val="ru-RU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56"/>
        <w:gridCol w:w="3650"/>
        <w:gridCol w:w="5387"/>
      </w:tblGrid>
      <w:tr w:rsidR="0017124F" w:rsidRPr="00D11B14" w14:paraId="5F9F27D4" w14:textId="77777777" w:rsidTr="00CA72EA">
        <w:tc>
          <w:tcPr>
            <w:tcW w:w="456" w:type="dxa"/>
          </w:tcPr>
          <w:p w14:paraId="01C945D8" w14:textId="77FBC534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50" w:type="dxa"/>
          </w:tcPr>
          <w:p w14:paraId="2189128A" w14:textId="7D622B40" w:rsidR="005E0530" w:rsidRPr="00D11B14" w:rsidRDefault="005E0530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387" w:type="dxa"/>
          </w:tcPr>
          <w:p w14:paraId="2298EBEA" w14:textId="6836BA1F" w:rsidR="005E0530" w:rsidRPr="00A973AB" w:rsidRDefault="00A973AB" w:rsidP="00D97118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Ковалева Анна Константиновна</w:t>
            </w:r>
          </w:p>
        </w:tc>
      </w:tr>
      <w:tr w:rsidR="0017124F" w:rsidRPr="00391240" w14:paraId="067AD635" w14:textId="77777777" w:rsidTr="00CA72EA">
        <w:tc>
          <w:tcPr>
            <w:tcW w:w="456" w:type="dxa"/>
          </w:tcPr>
          <w:p w14:paraId="77C7D637" w14:textId="10C9428C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50" w:type="dxa"/>
          </w:tcPr>
          <w:p w14:paraId="4871F2E4" w14:textId="09E687EF" w:rsidR="005E0530" w:rsidRPr="00D11B14" w:rsidRDefault="005E0530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387" w:type="dxa"/>
          </w:tcPr>
          <w:p w14:paraId="567FF8DB" w14:textId="4EEC91D8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Доктор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) по специальности 6</w:t>
            </w:r>
            <w:r w:rsidRPr="00D11B14">
              <w:rPr>
                <w:color w:val="000000"/>
                <w:sz w:val="24"/>
                <w:szCs w:val="24"/>
              </w:rPr>
              <w:t>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0606</w:t>
            </w:r>
            <w:r w:rsidRPr="00270287">
              <w:rPr>
                <w:color w:val="000000"/>
                <w:sz w:val="24"/>
                <w:szCs w:val="24"/>
                <w:lang w:val="ru-RU"/>
              </w:rPr>
              <w:t>00 – Химия (</w:t>
            </w:r>
            <w:r w:rsidR="00270287" w:rsidRPr="00270287">
              <w:rPr>
                <w:color w:val="000000"/>
                <w:sz w:val="24"/>
                <w:szCs w:val="24"/>
                <w:lang w:val="ru-RU"/>
              </w:rPr>
              <w:t>ҒД</w:t>
            </w:r>
            <w:r w:rsidR="00036FB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>№000</w:t>
            </w:r>
            <w:r w:rsidR="00270287" w:rsidRPr="00270287">
              <w:rPr>
                <w:color w:val="000000"/>
                <w:sz w:val="24"/>
                <w:szCs w:val="24"/>
                <w:lang w:val="kk-KZ"/>
              </w:rPr>
              <w:t>0335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>, решение К</w:t>
            </w:r>
            <w:r w:rsidR="00270287" w:rsidRPr="00270287">
              <w:rPr>
                <w:color w:val="000000"/>
                <w:sz w:val="24"/>
                <w:szCs w:val="24"/>
                <w:lang w:val="kk-KZ"/>
              </w:rPr>
              <w:t>О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 xml:space="preserve">КСОН МОН РК от </w:t>
            </w:r>
            <w:r w:rsidR="00270287" w:rsidRPr="00270287">
              <w:rPr>
                <w:color w:val="000000"/>
                <w:sz w:val="24"/>
                <w:szCs w:val="24"/>
                <w:lang w:val="kk-KZ"/>
              </w:rPr>
              <w:t>08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70287" w:rsidRPr="00270287">
              <w:rPr>
                <w:color w:val="000000"/>
                <w:sz w:val="24"/>
                <w:szCs w:val="24"/>
                <w:lang w:val="kk-KZ"/>
              </w:rPr>
              <w:t>июл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>я 20</w:t>
            </w:r>
            <w:r w:rsidR="00270287" w:rsidRPr="00270287">
              <w:rPr>
                <w:color w:val="000000"/>
                <w:sz w:val="24"/>
                <w:szCs w:val="24"/>
                <w:lang w:val="kk-KZ"/>
              </w:rPr>
              <w:t>21</w:t>
            </w:r>
            <w:r w:rsidR="00EB7E8C" w:rsidRPr="0027028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>года</w:t>
            </w:r>
            <w:r w:rsidRPr="0027028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270287">
              <w:rPr>
                <w:color w:val="000000"/>
                <w:sz w:val="24"/>
                <w:szCs w:val="24"/>
                <w:lang w:val="kk-KZ"/>
              </w:rPr>
              <w:t xml:space="preserve">приказ № </w:t>
            </w:r>
            <w:r w:rsidR="00270287" w:rsidRPr="00270287">
              <w:rPr>
                <w:color w:val="000000"/>
                <w:sz w:val="24"/>
                <w:szCs w:val="24"/>
                <w:lang w:val="kk-KZ"/>
              </w:rPr>
              <w:t>561</w:t>
            </w:r>
            <w:r w:rsidRPr="00270287">
              <w:rPr>
                <w:sz w:val="24"/>
                <w:szCs w:val="24"/>
                <w:lang w:val="ru-RU"/>
              </w:rPr>
              <w:t>).</w:t>
            </w:r>
          </w:p>
        </w:tc>
      </w:tr>
      <w:tr w:rsidR="0017124F" w:rsidRPr="00D11B14" w14:paraId="7E9F08A9" w14:textId="77777777" w:rsidTr="00CA72EA">
        <w:tc>
          <w:tcPr>
            <w:tcW w:w="456" w:type="dxa"/>
          </w:tcPr>
          <w:p w14:paraId="31787144" w14:textId="140AA2A5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50" w:type="dxa"/>
          </w:tcPr>
          <w:p w14:paraId="749E1883" w14:textId="7FC139A5" w:rsidR="005E0530" w:rsidRPr="00D11B14" w:rsidRDefault="005E0530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5387" w:type="dxa"/>
          </w:tcPr>
          <w:p w14:paraId="701F5F7C" w14:textId="5C3763F7" w:rsidR="005E0530" w:rsidRPr="00D11B14" w:rsidRDefault="00246374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</w:tr>
      <w:tr w:rsidR="0017124F" w:rsidRPr="00D11B14" w14:paraId="39DC9871" w14:textId="77777777" w:rsidTr="00CA72EA">
        <w:tc>
          <w:tcPr>
            <w:tcW w:w="456" w:type="dxa"/>
          </w:tcPr>
          <w:p w14:paraId="361C3BE6" w14:textId="770E46BD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50" w:type="dxa"/>
          </w:tcPr>
          <w:p w14:paraId="7432ADCF" w14:textId="56C27DE0" w:rsidR="005E0530" w:rsidRPr="00D11B14" w:rsidRDefault="005E0530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5387" w:type="dxa"/>
          </w:tcPr>
          <w:p w14:paraId="5742D46F" w14:textId="0DEC1C55" w:rsidR="005E0530" w:rsidRPr="00246374" w:rsidRDefault="00246374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</w:tr>
      <w:tr w:rsidR="0017124F" w:rsidRPr="00391240" w14:paraId="02BA6A8C" w14:textId="77777777" w:rsidTr="00CA72EA">
        <w:tc>
          <w:tcPr>
            <w:tcW w:w="456" w:type="dxa"/>
          </w:tcPr>
          <w:p w14:paraId="5ED0F307" w14:textId="79BCC6B4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50" w:type="dxa"/>
          </w:tcPr>
          <w:p w14:paraId="1108346E" w14:textId="76F73DC5" w:rsidR="005E0530" w:rsidRPr="00D11B14" w:rsidRDefault="005E0530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387" w:type="dxa"/>
          </w:tcPr>
          <w:p w14:paraId="02D00E1F" w14:textId="5D735BD1" w:rsidR="005E0530" w:rsidRPr="00246374" w:rsidRDefault="00A973AB" w:rsidP="00A973A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46374">
              <w:rPr>
                <w:sz w:val="24"/>
                <w:szCs w:val="24"/>
                <w:lang w:val="ru-RU"/>
              </w:rPr>
              <w:t>Ведущий научный сотрудник (приказ №124-л/с</w:t>
            </w:r>
            <w:r w:rsidR="00246374" w:rsidRPr="00246374">
              <w:rPr>
                <w:sz w:val="24"/>
                <w:szCs w:val="24"/>
                <w:lang w:val="ru-RU"/>
              </w:rPr>
              <w:t xml:space="preserve"> от 29.04.2024 г.).</w:t>
            </w:r>
          </w:p>
        </w:tc>
      </w:tr>
      <w:tr w:rsidR="0017124F" w:rsidRPr="00391240" w14:paraId="0F93B12E" w14:textId="77777777" w:rsidTr="00CA72EA">
        <w:tc>
          <w:tcPr>
            <w:tcW w:w="456" w:type="dxa"/>
          </w:tcPr>
          <w:p w14:paraId="44962194" w14:textId="5A1FE5F1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50" w:type="dxa"/>
          </w:tcPr>
          <w:p w14:paraId="4E92F564" w14:textId="2CE1F2D6" w:rsidR="005E0530" w:rsidRPr="00D11B14" w:rsidRDefault="005E0530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387" w:type="dxa"/>
          </w:tcPr>
          <w:p w14:paraId="76DCCC39" w14:textId="3CADAE51" w:rsidR="005E0530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sz w:val="24"/>
                <w:szCs w:val="24"/>
                <w:lang w:val="ru-RU"/>
              </w:rPr>
              <w:t>Всего</w:t>
            </w:r>
            <w:r w:rsidR="00A4374A">
              <w:rPr>
                <w:sz w:val="24"/>
                <w:szCs w:val="24"/>
                <w:lang w:val="ru-RU"/>
              </w:rPr>
              <w:t xml:space="preserve"> </w:t>
            </w:r>
            <w:r w:rsidRPr="00D11B14">
              <w:rPr>
                <w:sz w:val="24"/>
                <w:szCs w:val="24"/>
                <w:lang w:val="ru-RU"/>
              </w:rPr>
              <w:t>1</w:t>
            </w:r>
            <w:r w:rsidR="00391240" w:rsidRPr="00391240">
              <w:rPr>
                <w:sz w:val="24"/>
                <w:szCs w:val="24"/>
                <w:lang w:val="ru-RU"/>
              </w:rPr>
              <w:t>5</w:t>
            </w:r>
            <w:r w:rsidRPr="00D11B14">
              <w:rPr>
                <w:sz w:val="24"/>
                <w:szCs w:val="24"/>
                <w:lang w:val="ru-RU"/>
              </w:rPr>
              <w:t xml:space="preserve"> лет </w:t>
            </w:r>
            <w:r w:rsidR="00391240" w:rsidRPr="00391240">
              <w:rPr>
                <w:sz w:val="24"/>
                <w:szCs w:val="24"/>
                <w:lang w:val="ru-RU"/>
              </w:rPr>
              <w:t>5</w:t>
            </w:r>
            <w:r w:rsidR="003B129F">
              <w:rPr>
                <w:sz w:val="24"/>
                <w:szCs w:val="24"/>
                <w:lang w:val="ru-RU"/>
              </w:rPr>
              <w:t xml:space="preserve"> месяц</w:t>
            </w:r>
            <w:r w:rsidR="00246374">
              <w:rPr>
                <w:sz w:val="24"/>
                <w:szCs w:val="24"/>
                <w:lang w:val="ru-RU"/>
              </w:rPr>
              <w:t>ев</w:t>
            </w:r>
            <w:r w:rsidRPr="00D11B14">
              <w:rPr>
                <w:sz w:val="24"/>
                <w:szCs w:val="24"/>
                <w:lang w:val="ru-RU"/>
              </w:rPr>
              <w:t xml:space="preserve">, в том числе в должности </w:t>
            </w:r>
            <w:r w:rsidR="00246374">
              <w:rPr>
                <w:sz w:val="24"/>
                <w:szCs w:val="24"/>
                <w:lang w:val="ru-RU"/>
              </w:rPr>
              <w:t>ведущего научного сотрудника</w:t>
            </w:r>
            <w:r w:rsidRPr="00D11B14">
              <w:rPr>
                <w:sz w:val="24"/>
                <w:szCs w:val="24"/>
                <w:lang w:val="ru-RU"/>
              </w:rPr>
              <w:t xml:space="preserve"> </w:t>
            </w:r>
            <w:r w:rsidR="00246374">
              <w:rPr>
                <w:sz w:val="24"/>
                <w:szCs w:val="24"/>
                <w:lang w:val="ru-RU"/>
              </w:rPr>
              <w:t>–</w:t>
            </w:r>
            <w:r w:rsidRPr="00D11B14">
              <w:rPr>
                <w:sz w:val="24"/>
                <w:szCs w:val="24"/>
                <w:lang w:val="ru-RU"/>
              </w:rPr>
              <w:t xml:space="preserve"> </w:t>
            </w:r>
            <w:r w:rsidR="00246374">
              <w:rPr>
                <w:sz w:val="24"/>
                <w:szCs w:val="24"/>
                <w:lang w:val="ru-RU"/>
              </w:rPr>
              <w:t>2 года</w:t>
            </w:r>
            <w:r w:rsidRPr="00D11B14">
              <w:rPr>
                <w:sz w:val="24"/>
                <w:szCs w:val="24"/>
                <w:lang w:val="ru-RU"/>
              </w:rPr>
              <w:t xml:space="preserve"> 2 мес</w:t>
            </w:r>
            <w:r w:rsidR="003B129F">
              <w:rPr>
                <w:sz w:val="24"/>
                <w:szCs w:val="24"/>
                <w:lang w:val="ru-RU"/>
              </w:rPr>
              <w:t>яца</w:t>
            </w:r>
            <w:r w:rsidRPr="00D11B14">
              <w:rPr>
                <w:sz w:val="24"/>
                <w:szCs w:val="24"/>
                <w:lang w:val="ru-RU"/>
              </w:rPr>
              <w:t>.</w:t>
            </w:r>
          </w:p>
        </w:tc>
      </w:tr>
      <w:tr w:rsidR="0017124F" w:rsidRPr="00391240" w14:paraId="635D333B" w14:textId="77777777" w:rsidTr="00CA72EA">
        <w:tc>
          <w:tcPr>
            <w:tcW w:w="456" w:type="dxa"/>
          </w:tcPr>
          <w:p w14:paraId="0822DAC2" w14:textId="14C546D0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650" w:type="dxa"/>
          </w:tcPr>
          <w:p w14:paraId="3C2EF81A" w14:textId="0AC3CE26" w:rsidR="005E0530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387" w:type="dxa"/>
          </w:tcPr>
          <w:p w14:paraId="024294CD" w14:textId="4CBAEDF5" w:rsidR="00246374" w:rsidRPr="00270287" w:rsidRDefault="00D97118" w:rsidP="00D9711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B14">
              <w:rPr>
                <w:sz w:val="24"/>
                <w:szCs w:val="24"/>
                <w:lang w:val="ru-RU"/>
              </w:rPr>
              <w:t>Всего</w:t>
            </w:r>
            <w:r w:rsidR="00EB7E8C" w:rsidRPr="00D11B14">
              <w:rPr>
                <w:sz w:val="24"/>
                <w:szCs w:val="24"/>
                <w:lang w:val="ru-RU"/>
              </w:rPr>
              <w:t xml:space="preserve"> </w:t>
            </w:r>
            <w:r w:rsidRPr="00D11B14">
              <w:rPr>
                <w:sz w:val="24"/>
                <w:szCs w:val="24"/>
                <w:lang w:val="ru-RU"/>
              </w:rPr>
              <w:t xml:space="preserve">более </w:t>
            </w:r>
            <w:r w:rsidR="00270287">
              <w:rPr>
                <w:sz w:val="24"/>
                <w:szCs w:val="24"/>
                <w:lang w:val="ru-RU"/>
              </w:rPr>
              <w:t>2</w:t>
            </w:r>
            <w:r w:rsidRPr="00270287">
              <w:rPr>
                <w:sz w:val="24"/>
                <w:szCs w:val="24"/>
                <w:lang w:val="ru-RU"/>
              </w:rPr>
              <w:t>0 публикаций, в том числе:</w:t>
            </w:r>
            <w:r w:rsidR="00246374" w:rsidRPr="00270287">
              <w:rPr>
                <w:sz w:val="24"/>
                <w:szCs w:val="24"/>
                <w:lang w:val="ru-RU"/>
              </w:rPr>
              <w:t xml:space="preserve"> </w:t>
            </w:r>
          </w:p>
          <w:p w14:paraId="7A555918" w14:textId="48C1DE0E" w:rsidR="00D97118" w:rsidRPr="00D11B14" w:rsidRDefault="00246374" w:rsidP="00D9711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0287">
              <w:rPr>
                <w:sz w:val="24"/>
                <w:szCs w:val="24"/>
                <w:lang w:val="ru-RU"/>
              </w:rPr>
              <w:t>–</w:t>
            </w:r>
            <w:r w:rsidR="00D97118" w:rsidRPr="00270287">
              <w:rPr>
                <w:sz w:val="24"/>
                <w:szCs w:val="24"/>
                <w:lang w:val="ru-RU"/>
              </w:rPr>
              <w:t xml:space="preserve"> в изданиях, рекомендуемых уполномоченным органом – </w:t>
            </w:r>
            <w:r w:rsidR="00F91681" w:rsidRPr="00F91681">
              <w:rPr>
                <w:b/>
                <w:bCs/>
                <w:sz w:val="24"/>
                <w:szCs w:val="24"/>
                <w:lang w:val="ru-RU"/>
              </w:rPr>
              <w:t>9</w:t>
            </w:r>
            <w:r w:rsidR="00D97118" w:rsidRPr="00270287">
              <w:rPr>
                <w:sz w:val="24"/>
                <w:szCs w:val="24"/>
                <w:lang w:val="ru-RU"/>
              </w:rPr>
              <w:t>,</w:t>
            </w:r>
          </w:p>
          <w:p w14:paraId="3747E155" w14:textId="6AD7B3EB" w:rsidR="00D97118" w:rsidRPr="00D11B14" w:rsidRDefault="00246374" w:rsidP="00D9711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 в научных журналах, входящих в базы компании </w:t>
            </w:r>
            <w:r w:rsidR="00D97118" w:rsidRPr="00D11B14">
              <w:rPr>
                <w:sz w:val="24"/>
                <w:szCs w:val="24"/>
              </w:rPr>
              <w:t>Clarivate</w:t>
            </w:r>
            <w:r w:rsidR="00D97118" w:rsidRPr="00D11B14">
              <w:rPr>
                <w:sz w:val="24"/>
                <w:szCs w:val="24"/>
                <w:lang w:val="kk-KZ"/>
              </w:rPr>
              <w:t xml:space="preserve"> </w:t>
            </w:r>
            <w:r w:rsidR="00D97118" w:rsidRPr="00D11B14">
              <w:rPr>
                <w:sz w:val="24"/>
                <w:szCs w:val="24"/>
              </w:rPr>
              <w:t>Analytics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>) (</w:t>
            </w:r>
            <w:r w:rsidR="00D97118" w:rsidRPr="00D11B14">
              <w:rPr>
                <w:sz w:val="24"/>
                <w:szCs w:val="24"/>
              </w:rPr>
              <w:t>Web</w:t>
            </w:r>
            <w:r w:rsidR="00D97118" w:rsidRPr="00D11B14">
              <w:rPr>
                <w:sz w:val="24"/>
                <w:szCs w:val="24"/>
                <w:lang w:val="kk-KZ"/>
              </w:rPr>
              <w:t xml:space="preserve"> </w:t>
            </w:r>
            <w:r w:rsidR="00D97118" w:rsidRPr="00D11B14">
              <w:rPr>
                <w:sz w:val="24"/>
                <w:szCs w:val="24"/>
              </w:rPr>
              <w:t>of</w:t>
            </w:r>
            <w:r w:rsidR="00D97118" w:rsidRPr="00D11B14">
              <w:rPr>
                <w:sz w:val="24"/>
                <w:szCs w:val="24"/>
                <w:lang w:val="kk-KZ"/>
              </w:rPr>
              <w:t xml:space="preserve"> </w:t>
            </w:r>
            <w:r w:rsidR="00D97118" w:rsidRPr="00D11B14">
              <w:rPr>
                <w:sz w:val="24"/>
                <w:szCs w:val="24"/>
              </w:rPr>
              <w:t>Science</w:t>
            </w:r>
            <w:r w:rsidR="00D97118" w:rsidRPr="00D11B14">
              <w:rPr>
                <w:sz w:val="24"/>
                <w:szCs w:val="24"/>
                <w:lang w:val="kk-KZ"/>
              </w:rPr>
              <w:t xml:space="preserve"> </w:t>
            </w:r>
            <w:r w:rsidR="00D97118" w:rsidRPr="00D11B14">
              <w:rPr>
                <w:sz w:val="24"/>
                <w:szCs w:val="24"/>
              </w:rPr>
              <w:t>Core</w:t>
            </w:r>
            <w:r w:rsidR="00D97118" w:rsidRPr="00D11B14">
              <w:rPr>
                <w:sz w:val="24"/>
                <w:szCs w:val="24"/>
                <w:lang w:val="kk-KZ"/>
              </w:rPr>
              <w:t xml:space="preserve"> </w:t>
            </w:r>
            <w:r w:rsidR="00D97118" w:rsidRPr="00D11B14">
              <w:rPr>
                <w:sz w:val="24"/>
                <w:szCs w:val="24"/>
              </w:rPr>
              <w:t>Collection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, </w:t>
            </w:r>
            <w:r w:rsidR="00D97118" w:rsidRPr="00D11B14">
              <w:rPr>
                <w:sz w:val="24"/>
                <w:szCs w:val="24"/>
              </w:rPr>
              <w:t>Clarivate</w:t>
            </w:r>
            <w:r w:rsidR="00D97118" w:rsidRPr="00D11B14">
              <w:rPr>
                <w:sz w:val="24"/>
                <w:szCs w:val="24"/>
                <w:lang w:val="kk-KZ"/>
              </w:rPr>
              <w:t xml:space="preserve"> </w:t>
            </w:r>
            <w:r w:rsidR="00D97118" w:rsidRPr="00D11B14">
              <w:rPr>
                <w:sz w:val="24"/>
                <w:szCs w:val="24"/>
              </w:rPr>
              <w:t>Analytics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 (Вэб оф 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Сайнс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Коллекшн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 xml:space="preserve">)), </w:t>
            </w:r>
            <w:r w:rsidR="00D97118" w:rsidRPr="00D11B14">
              <w:rPr>
                <w:sz w:val="24"/>
                <w:szCs w:val="24"/>
              </w:rPr>
              <w:t>Scopus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97118" w:rsidRPr="00D11B14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="00D97118" w:rsidRPr="00D11B14">
              <w:rPr>
                <w:sz w:val="24"/>
                <w:szCs w:val="24"/>
                <w:lang w:val="ru-RU"/>
              </w:rPr>
              <w:t xml:space="preserve">) или </w:t>
            </w:r>
            <w:r w:rsidR="00D97118" w:rsidRPr="00D11B14">
              <w:rPr>
                <w:sz w:val="24"/>
                <w:szCs w:val="24"/>
              </w:rPr>
              <w:t>JSTOR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 (ДЖЕЙСТОР) – </w:t>
            </w: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  <w:r w:rsidR="00D97118" w:rsidRPr="00D11B14">
              <w:rPr>
                <w:sz w:val="24"/>
                <w:szCs w:val="24"/>
                <w:lang w:val="ru-RU"/>
              </w:rPr>
              <w:t>,</w:t>
            </w:r>
          </w:p>
          <w:p w14:paraId="30CCB8CC" w14:textId="48E6BADE" w:rsidR="000C38BB" w:rsidRDefault="00246374" w:rsidP="00D97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  <w:r w:rsidR="00D97118" w:rsidRPr="00D11B14">
              <w:rPr>
                <w:sz w:val="24"/>
                <w:szCs w:val="24"/>
                <w:lang w:val="ru-RU"/>
              </w:rPr>
              <w:t xml:space="preserve"> авторские свидетельства, патенты – </w:t>
            </w:r>
            <w:r w:rsidR="00D97118" w:rsidRPr="00D11B14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EC3971" w:rsidRPr="00270287">
              <w:rPr>
                <w:sz w:val="24"/>
                <w:szCs w:val="24"/>
                <w:lang w:val="ru-RU"/>
              </w:rPr>
              <w:t>,</w:t>
            </w:r>
          </w:p>
          <w:p w14:paraId="70F0DD0D" w14:textId="172C298C" w:rsidR="00EC3971" w:rsidRPr="00EC3971" w:rsidRDefault="00246374" w:rsidP="00EC397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  <w:r w:rsidR="00EC3971" w:rsidRPr="00D11B14">
              <w:rPr>
                <w:sz w:val="24"/>
                <w:szCs w:val="24"/>
                <w:lang w:val="ru-RU"/>
              </w:rPr>
              <w:t xml:space="preserve"> </w:t>
            </w:r>
            <w:r w:rsidR="00EC3971" w:rsidRPr="00EC3971">
              <w:rPr>
                <w:bCs/>
                <w:sz w:val="23"/>
                <w:szCs w:val="23"/>
                <w:lang w:val="ru-RU"/>
              </w:rPr>
              <w:t>в материалах международных научных мероприятий и других периодических изданиях</w:t>
            </w:r>
            <w:r w:rsidR="00EC3971">
              <w:rPr>
                <w:bCs/>
                <w:sz w:val="23"/>
                <w:szCs w:val="23"/>
                <w:lang w:val="ru-RU"/>
              </w:rPr>
              <w:t xml:space="preserve"> </w:t>
            </w:r>
            <w:r w:rsidR="00EC3971" w:rsidRPr="00D11B14">
              <w:rPr>
                <w:sz w:val="24"/>
                <w:szCs w:val="24"/>
                <w:lang w:val="ru-RU"/>
              </w:rPr>
              <w:t>–</w:t>
            </w:r>
            <w:r w:rsidR="00391240" w:rsidRPr="00391240">
              <w:rPr>
                <w:sz w:val="24"/>
                <w:szCs w:val="24"/>
                <w:lang w:val="ru-RU"/>
              </w:rPr>
              <w:t xml:space="preserve"> </w:t>
            </w:r>
            <w:r w:rsidR="00391240" w:rsidRPr="00391240">
              <w:rPr>
                <w:b/>
                <w:bCs/>
                <w:sz w:val="24"/>
                <w:szCs w:val="24"/>
                <w:lang w:val="ru-RU"/>
              </w:rPr>
              <w:t>5</w:t>
            </w:r>
            <w:r w:rsidR="00EC3971" w:rsidRPr="00270287">
              <w:rPr>
                <w:sz w:val="24"/>
                <w:szCs w:val="24"/>
                <w:lang w:val="ru-RU"/>
              </w:rPr>
              <w:t>.</w:t>
            </w:r>
          </w:p>
        </w:tc>
      </w:tr>
      <w:tr w:rsidR="0017124F" w:rsidRPr="00391240" w14:paraId="20098B03" w14:textId="77777777" w:rsidTr="00CA72EA">
        <w:tc>
          <w:tcPr>
            <w:tcW w:w="456" w:type="dxa"/>
          </w:tcPr>
          <w:p w14:paraId="64C21549" w14:textId="6F3A617E" w:rsidR="00D97118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650" w:type="dxa"/>
          </w:tcPr>
          <w:p w14:paraId="04B7836A" w14:textId="2B730E63" w:rsidR="00D97118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387" w:type="dxa"/>
          </w:tcPr>
          <w:p w14:paraId="120473DB" w14:textId="4CEB173F" w:rsidR="00D97118" w:rsidRPr="00D11B14" w:rsidRDefault="00D97118" w:rsidP="00D97118">
            <w:pPr>
              <w:pStyle w:val="af1"/>
              <w:widowControl/>
              <w:tabs>
                <w:tab w:val="left" w:pos="41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1B1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Монография (</w:t>
            </w:r>
            <w:r w:rsidR="002463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 соавторстве</w:t>
            </w:r>
            <w:r w:rsidR="00246374" w:rsidRPr="00774C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7,0/6,0 </w:t>
            </w:r>
            <w:proofErr w:type="spellStart"/>
            <w:r w:rsidR="00774C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п.л</w:t>
            </w:r>
            <w:proofErr w:type="spellEnd"/>
            <w:r w:rsidR="00774C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11B1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14:paraId="0F393095" w14:textId="29826B82" w:rsidR="00D97118" w:rsidRPr="00F91681" w:rsidRDefault="00246374" w:rsidP="00DE4B88">
            <w:pPr>
              <w:pStyle w:val="af1"/>
              <w:widowControl/>
              <w:tabs>
                <w:tab w:val="left" w:pos="41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3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Применение модифицированных ненасыщенных полиэфиров в реакциях радикальной </w:t>
            </w:r>
            <w:r w:rsidRPr="00783A50">
              <w:rPr>
                <w:rFonts w:ascii="Times New Roman" w:hAnsi="Times New Roman"/>
                <w:sz w:val="23"/>
                <w:szCs w:val="23"/>
                <w:lang w:val="ru-RU"/>
              </w:rPr>
              <w:t>полимеризации</w:t>
            </w:r>
            <w:r w:rsidR="00D97118" w:rsidRPr="00783A5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: </w:t>
            </w:r>
            <w:r w:rsidRPr="00783A5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Караганда: </w:t>
            </w:r>
            <w:r w:rsidR="00783A50" w:rsidRPr="00783A50">
              <w:rPr>
                <w:rFonts w:ascii="Times New Roman" w:hAnsi="Times New Roman"/>
                <w:sz w:val="23"/>
                <w:szCs w:val="23"/>
                <w:lang w:val="kk-KZ"/>
              </w:rPr>
              <w:t>Караганда:</w:t>
            </w:r>
            <w:r w:rsidR="00783A50" w:rsidRPr="00783A5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783A50" w:rsidRPr="00783A50">
              <w:rPr>
                <w:rFonts w:ascii="Times New Roman" w:hAnsi="Times New Roman"/>
                <w:sz w:val="23"/>
                <w:szCs w:val="23"/>
                <w:lang w:val="kk-KZ"/>
              </w:rPr>
              <w:t>ТОО «Типография Арко»</w:t>
            </w:r>
            <w:r w:rsidRPr="00783A5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2025. – 113 с. </w:t>
            </w:r>
            <w:r w:rsidRPr="00783A50">
              <w:rPr>
                <w:rFonts w:ascii="Times New Roman" w:hAnsi="Times New Roman"/>
                <w:sz w:val="23"/>
                <w:szCs w:val="23"/>
              </w:rPr>
              <w:t>ISBN</w:t>
            </w:r>
            <w:r w:rsidR="00F91681" w:rsidRPr="00783A5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978-601-204-587-1.</w:t>
            </w:r>
          </w:p>
        </w:tc>
      </w:tr>
      <w:tr w:rsidR="0017124F" w:rsidRPr="00D11B14" w14:paraId="6E46DE15" w14:textId="77777777" w:rsidTr="00CA72EA">
        <w:tc>
          <w:tcPr>
            <w:tcW w:w="456" w:type="dxa"/>
          </w:tcPr>
          <w:p w14:paraId="4DE3429C" w14:textId="03457BA0" w:rsidR="00D97118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650" w:type="dxa"/>
          </w:tcPr>
          <w:p w14:paraId="227F4825" w14:textId="0A22F406" w:rsidR="00D97118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 xml:space="preserve">), доктора по профилю) или академическая 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lastRenderedPageBreak/>
              <w:t>степень доктора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11B14">
              <w:rPr>
                <w:color w:val="000000"/>
                <w:sz w:val="24"/>
                <w:szCs w:val="24"/>
              </w:rPr>
              <w:t>PhD</w:t>
            </w:r>
            <w:r w:rsidRPr="00D11B14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387" w:type="dxa"/>
          </w:tcPr>
          <w:p w14:paraId="07FF7562" w14:textId="32DA574E" w:rsidR="00D97118" w:rsidRPr="00246374" w:rsidRDefault="00246374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17124F" w:rsidRPr="00D11B14" w14:paraId="75BA9378" w14:textId="77777777" w:rsidTr="00CA72EA">
        <w:tc>
          <w:tcPr>
            <w:tcW w:w="456" w:type="dxa"/>
          </w:tcPr>
          <w:p w14:paraId="3000D89A" w14:textId="0D02804B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50" w:type="dxa"/>
          </w:tcPr>
          <w:p w14:paraId="2B8249D6" w14:textId="099D43B1" w:rsidR="005E0530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5387" w:type="dxa"/>
          </w:tcPr>
          <w:p w14:paraId="405771EE" w14:textId="71A910AC" w:rsidR="005E0530" w:rsidRPr="00D11B14" w:rsidRDefault="00774CDF" w:rsidP="001B75A1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17124F" w:rsidRPr="00D11B14" w14:paraId="04B9B928" w14:textId="77777777" w:rsidTr="00CA72EA">
        <w:tc>
          <w:tcPr>
            <w:tcW w:w="456" w:type="dxa"/>
          </w:tcPr>
          <w:p w14:paraId="11B864E6" w14:textId="110DCE14" w:rsidR="005E0530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650" w:type="dxa"/>
          </w:tcPr>
          <w:p w14:paraId="6A037A3C" w14:textId="6645D641" w:rsidR="005E0530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7" w:type="dxa"/>
          </w:tcPr>
          <w:p w14:paraId="22752FDB" w14:textId="37B03560" w:rsidR="005E0530" w:rsidRPr="00D11B14" w:rsidRDefault="00774CDF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17124F" w:rsidRPr="00A1057F" w14:paraId="790A9ABA" w14:textId="77777777" w:rsidTr="00CA72EA">
        <w:tc>
          <w:tcPr>
            <w:tcW w:w="456" w:type="dxa"/>
          </w:tcPr>
          <w:p w14:paraId="322F1C87" w14:textId="0D3DFB4A" w:rsidR="00D97118" w:rsidRPr="00D11B14" w:rsidRDefault="00D97118" w:rsidP="00D9711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1B14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650" w:type="dxa"/>
          </w:tcPr>
          <w:p w14:paraId="546627EE" w14:textId="0B742F41" w:rsidR="00D97118" w:rsidRPr="00D11B14" w:rsidRDefault="00D97118" w:rsidP="005E05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D11B14">
              <w:rPr>
                <w:sz w:val="24"/>
                <w:szCs w:val="24"/>
              </w:rPr>
              <w:t>Дополнительная</w:t>
            </w:r>
            <w:proofErr w:type="spellEnd"/>
            <w:r w:rsidRPr="00D11B14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1B14"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387" w:type="dxa"/>
          </w:tcPr>
          <w:p w14:paraId="3BC7D9C5" w14:textId="77777777" w:rsidR="00CA72EA" w:rsidRDefault="00774CDF" w:rsidP="00405750">
            <w:pPr>
              <w:tabs>
                <w:tab w:val="left" w:pos="134"/>
                <w:tab w:val="left" w:pos="222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405750" w:rsidRPr="00D11B14">
              <w:rPr>
                <w:sz w:val="24"/>
                <w:szCs w:val="24"/>
                <w:lang w:val="kk-KZ"/>
              </w:rPr>
              <w:t xml:space="preserve">. </w:t>
            </w:r>
            <w:r w:rsidR="00CA72EA">
              <w:rPr>
                <w:sz w:val="24"/>
                <w:szCs w:val="24"/>
                <w:lang w:val="kk-KZ"/>
              </w:rPr>
              <w:t>Член исследовательской группы (НС) проекта № 0115РК00932 «Создание технологии получения новых супервлагосорентов, ионообменников и конструкционных материалов на основе полипропиленгликольмалеината, полипропиленгликольмалеинатфталата», грантовое финансирование на 2015-2017 годы, Комитет науки МОН РК.</w:t>
            </w:r>
          </w:p>
          <w:p w14:paraId="2FEC0C34" w14:textId="54FE961A" w:rsidR="00A66D8D" w:rsidRPr="00CA72EA" w:rsidRDefault="00CA72EA" w:rsidP="00405750">
            <w:pPr>
              <w:tabs>
                <w:tab w:val="left" w:pos="134"/>
                <w:tab w:val="left" w:pos="222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="00A66D8D">
              <w:rPr>
                <w:sz w:val="24"/>
                <w:szCs w:val="24"/>
                <w:lang w:val="kk-KZ"/>
              </w:rPr>
              <w:t xml:space="preserve">Член исследовательской </w:t>
            </w:r>
            <w:r w:rsidR="006745A2">
              <w:rPr>
                <w:sz w:val="24"/>
                <w:szCs w:val="24"/>
                <w:lang w:val="kk-KZ"/>
              </w:rPr>
              <w:t>г</w:t>
            </w:r>
            <w:r w:rsidR="00A66D8D">
              <w:rPr>
                <w:sz w:val="24"/>
                <w:szCs w:val="24"/>
                <w:lang w:val="kk-KZ"/>
              </w:rPr>
              <w:t xml:space="preserve">руппы (СНС) проекта № </w:t>
            </w:r>
            <w:r w:rsidR="00A66D8D" w:rsidRPr="00A66D8D">
              <w:rPr>
                <w:sz w:val="24"/>
                <w:szCs w:val="24"/>
                <w:lang w:val="kk-KZ"/>
              </w:rPr>
              <w:t>BR10965249</w:t>
            </w:r>
            <w:r w:rsidR="00A66D8D" w:rsidRPr="00A66D8D">
              <w:rPr>
                <w:sz w:val="24"/>
                <w:szCs w:val="24"/>
                <w:lang w:val="ru-RU"/>
              </w:rPr>
              <w:t xml:space="preserve"> «</w:t>
            </w:r>
            <w:r w:rsidR="00A66D8D">
              <w:rPr>
                <w:sz w:val="24"/>
                <w:szCs w:val="24"/>
                <w:lang w:val="ru-RU"/>
              </w:rPr>
              <w:t>Р</w:t>
            </w:r>
            <w:r w:rsidR="00A66D8D" w:rsidRPr="00A66D8D">
              <w:rPr>
                <w:sz w:val="24"/>
                <w:szCs w:val="24"/>
                <w:lang w:val="ru-RU"/>
              </w:rPr>
              <w:t xml:space="preserve">азработка новых </w:t>
            </w:r>
            <w:proofErr w:type="spellStart"/>
            <w:r w:rsidR="00A66D8D" w:rsidRPr="00A66D8D">
              <w:rPr>
                <w:sz w:val="24"/>
                <w:szCs w:val="24"/>
                <w:lang w:val="ru-RU"/>
              </w:rPr>
              <w:t>герметиков</w:t>
            </w:r>
            <w:proofErr w:type="spellEnd"/>
            <w:r w:rsidR="00A66D8D" w:rsidRPr="00A66D8D">
              <w:rPr>
                <w:sz w:val="24"/>
                <w:szCs w:val="24"/>
                <w:lang w:val="ru-RU"/>
              </w:rPr>
              <w:t xml:space="preserve"> и клеев на основе ненасыщенных полиэфирных смол для нужд строительной и оборонных отраслей»</w:t>
            </w:r>
            <w:r w:rsidR="00A66D8D">
              <w:rPr>
                <w:sz w:val="24"/>
                <w:szCs w:val="24"/>
                <w:lang w:val="ru-RU"/>
              </w:rPr>
              <w:t xml:space="preserve">, программно-целевое финансирование на 2021-2023 годы, </w:t>
            </w:r>
            <w:r w:rsidR="00A66D8D" w:rsidRPr="00A1057F">
              <w:rPr>
                <w:sz w:val="24"/>
                <w:szCs w:val="24"/>
                <w:lang w:val="kk-KZ"/>
              </w:rPr>
              <w:t>Комитет науки МНВО РК</w:t>
            </w:r>
            <w:r w:rsidR="00A66D8D">
              <w:rPr>
                <w:sz w:val="24"/>
                <w:szCs w:val="24"/>
                <w:lang w:val="kk-KZ"/>
              </w:rPr>
              <w:t>.</w:t>
            </w:r>
          </w:p>
          <w:p w14:paraId="7D76D41D" w14:textId="2AF2CB69" w:rsidR="00405750" w:rsidRPr="00A1057F" w:rsidRDefault="00CA72EA" w:rsidP="00405750">
            <w:pPr>
              <w:tabs>
                <w:tab w:val="left" w:pos="134"/>
                <w:tab w:val="left" w:pos="222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A66D8D">
              <w:rPr>
                <w:sz w:val="24"/>
                <w:szCs w:val="24"/>
                <w:lang w:val="kk-KZ"/>
              </w:rPr>
              <w:t xml:space="preserve">. </w:t>
            </w:r>
            <w:r w:rsidR="00F91681">
              <w:rPr>
                <w:sz w:val="24"/>
                <w:szCs w:val="24"/>
                <w:lang w:val="kk-KZ"/>
              </w:rPr>
              <w:t>В настоящее время ч</w:t>
            </w:r>
            <w:r w:rsidR="00774CDF">
              <w:rPr>
                <w:sz w:val="24"/>
                <w:szCs w:val="24"/>
                <w:lang w:val="kk-KZ"/>
              </w:rPr>
              <w:t xml:space="preserve">лен исследовательской группы </w:t>
            </w:r>
            <w:r w:rsidR="00F91681">
              <w:rPr>
                <w:sz w:val="24"/>
                <w:szCs w:val="24"/>
                <w:lang w:val="kk-KZ"/>
              </w:rPr>
              <w:t xml:space="preserve">(ВНС) </w:t>
            </w:r>
            <w:r w:rsidR="00405750" w:rsidRPr="00D11B14">
              <w:rPr>
                <w:sz w:val="24"/>
                <w:szCs w:val="24"/>
                <w:lang w:val="kk-KZ"/>
              </w:rPr>
              <w:t>проект</w:t>
            </w:r>
            <w:r w:rsidR="00F91681">
              <w:rPr>
                <w:sz w:val="24"/>
                <w:szCs w:val="24"/>
                <w:lang w:val="kk-KZ"/>
              </w:rPr>
              <w:t>а</w:t>
            </w:r>
            <w:r w:rsidR="00405750" w:rsidRPr="00D11B14">
              <w:rPr>
                <w:sz w:val="24"/>
                <w:szCs w:val="24"/>
                <w:lang w:val="kk-KZ"/>
              </w:rPr>
              <w:t xml:space="preserve"> № AP23488036 «Разработка термореактивных полиэфирных связующих для </w:t>
            </w:r>
            <w:r w:rsidR="00405750" w:rsidRPr="00A1057F">
              <w:rPr>
                <w:sz w:val="24"/>
                <w:szCs w:val="24"/>
                <w:lang w:val="kk-KZ"/>
              </w:rPr>
              <w:t>изготовления наливных декоративных изделий и строительных материалов», грантовое финансирование на 2024-2026 годы, Комитет науки МНВО РК.</w:t>
            </w:r>
          </w:p>
          <w:p w14:paraId="096A3B8B" w14:textId="1F55C32E" w:rsidR="00A1057F" w:rsidRDefault="00CA72EA" w:rsidP="004057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F91681" w:rsidRPr="00A1057F">
              <w:rPr>
                <w:sz w:val="24"/>
                <w:szCs w:val="24"/>
                <w:lang w:val="ru-RU"/>
              </w:rPr>
              <w:t xml:space="preserve">. Действующий рецензент трех журналов, </w:t>
            </w:r>
            <w:r w:rsidR="00A1057F" w:rsidRPr="00A1057F">
              <w:rPr>
                <w:sz w:val="24"/>
                <w:szCs w:val="24"/>
                <w:lang w:val="ru-RU"/>
              </w:rPr>
              <w:t>входящих в п</w:t>
            </w:r>
            <w:r w:rsidR="00F91681" w:rsidRPr="00A1057F">
              <w:rPr>
                <w:sz w:val="24"/>
                <w:szCs w:val="24"/>
                <w:lang w:val="ru-RU"/>
              </w:rPr>
              <w:t>еречень изданий, рекомендуемых К</w:t>
            </w:r>
            <w:r w:rsidR="00A1057F" w:rsidRPr="00A1057F">
              <w:rPr>
                <w:sz w:val="24"/>
                <w:szCs w:val="24"/>
                <w:lang w:val="ru-RU"/>
              </w:rPr>
              <w:t>ОКСНВО</w:t>
            </w:r>
            <w:r w:rsidR="00F91681" w:rsidRPr="00A1057F">
              <w:rPr>
                <w:sz w:val="24"/>
                <w:szCs w:val="24"/>
                <w:lang w:val="ru-RU"/>
              </w:rPr>
              <w:t xml:space="preserve"> М</w:t>
            </w:r>
            <w:r w:rsidR="00A1057F" w:rsidRPr="00A1057F">
              <w:rPr>
                <w:sz w:val="24"/>
                <w:szCs w:val="24"/>
                <w:lang w:val="ru-RU"/>
              </w:rPr>
              <w:t>НВО</w:t>
            </w:r>
            <w:r w:rsidR="00F91681" w:rsidRPr="00A1057F">
              <w:rPr>
                <w:sz w:val="24"/>
                <w:szCs w:val="24"/>
                <w:lang w:val="ru-RU"/>
              </w:rPr>
              <w:t xml:space="preserve"> Р</w:t>
            </w:r>
            <w:r w:rsidR="00A1057F" w:rsidRPr="00A1057F">
              <w:rPr>
                <w:sz w:val="24"/>
                <w:szCs w:val="24"/>
                <w:lang w:val="ru-RU"/>
              </w:rPr>
              <w:t>К</w:t>
            </w:r>
            <w:r w:rsidR="00F91681" w:rsidRPr="00A1057F">
              <w:rPr>
                <w:sz w:val="24"/>
                <w:szCs w:val="24"/>
                <w:lang w:val="ru-RU"/>
              </w:rPr>
              <w:t xml:space="preserve"> для публикации основных результатов научной деятельности</w:t>
            </w:r>
            <w:r w:rsidR="00A1057F" w:rsidRPr="00A1057F">
              <w:rPr>
                <w:sz w:val="24"/>
                <w:szCs w:val="24"/>
                <w:lang w:val="ru-RU"/>
              </w:rPr>
              <w:t>.</w:t>
            </w:r>
          </w:p>
          <w:p w14:paraId="3EE2B670" w14:textId="438DA4E9" w:rsidR="00D80905" w:rsidRPr="0017124F" w:rsidRDefault="00CA72EA" w:rsidP="004057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D80905">
              <w:rPr>
                <w:sz w:val="24"/>
                <w:szCs w:val="24"/>
                <w:lang w:val="ru-RU"/>
              </w:rPr>
              <w:t xml:space="preserve">. </w:t>
            </w:r>
            <w:r w:rsidR="0017124F" w:rsidRPr="0017124F">
              <w:rPr>
                <w:sz w:val="24"/>
                <w:szCs w:val="24"/>
                <w:lang w:val="ru-RU"/>
              </w:rPr>
              <w:t>Победитель конкурса, проведенного в рамках интерактивного форума «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диалогтың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жылы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дәстүрден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инновацияға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>», награждена дипломом I степени в номинации «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Цифрлық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24F" w:rsidRPr="0017124F">
              <w:rPr>
                <w:sz w:val="24"/>
                <w:szCs w:val="24"/>
                <w:lang w:val="ru-RU"/>
              </w:rPr>
              <w:t>серпіліс</w:t>
            </w:r>
            <w:proofErr w:type="spellEnd"/>
            <w:r w:rsidR="0017124F" w:rsidRPr="0017124F">
              <w:rPr>
                <w:sz w:val="24"/>
                <w:szCs w:val="24"/>
                <w:lang w:val="ru-RU"/>
              </w:rPr>
              <w:t>»</w:t>
            </w:r>
            <w:r w:rsidR="0017124F">
              <w:rPr>
                <w:sz w:val="24"/>
                <w:szCs w:val="24"/>
                <w:lang w:val="ru-RU"/>
              </w:rPr>
              <w:t xml:space="preserve"> (9 апреля 2026 г.)</w:t>
            </w:r>
          </w:p>
          <w:p w14:paraId="6E16BAD6" w14:textId="09239282" w:rsidR="00D97118" w:rsidRPr="00A1057F" w:rsidRDefault="00CA72EA" w:rsidP="0040575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72EA">
              <w:rPr>
                <w:sz w:val="24"/>
                <w:szCs w:val="24"/>
              </w:rPr>
              <w:t>6</w:t>
            </w:r>
            <w:r w:rsidR="00405750" w:rsidRPr="00A1057F">
              <w:rPr>
                <w:sz w:val="24"/>
                <w:szCs w:val="24"/>
              </w:rPr>
              <w:t xml:space="preserve">. h-index: </w:t>
            </w:r>
            <w:r w:rsidR="00AB341A" w:rsidRPr="00A1057F">
              <w:rPr>
                <w:b/>
                <w:sz w:val="24"/>
                <w:szCs w:val="24"/>
              </w:rPr>
              <w:t>5</w:t>
            </w:r>
            <w:r w:rsidR="006B44F4" w:rsidRPr="00A1057F">
              <w:rPr>
                <w:b/>
                <w:sz w:val="24"/>
                <w:szCs w:val="24"/>
              </w:rPr>
              <w:t xml:space="preserve"> </w:t>
            </w:r>
            <w:r w:rsidR="00AB341A" w:rsidRPr="00A1057F">
              <w:rPr>
                <w:b/>
                <w:sz w:val="24"/>
                <w:szCs w:val="24"/>
              </w:rPr>
              <w:t>(</w:t>
            </w:r>
            <w:r w:rsidR="00405750" w:rsidRPr="00A1057F">
              <w:rPr>
                <w:b/>
                <w:sz w:val="24"/>
                <w:szCs w:val="24"/>
              </w:rPr>
              <w:t>Scopus</w:t>
            </w:r>
            <w:r w:rsidR="00AB341A" w:rsidRPr="00A1057F">
              <w:rPr>
                <w:b/>
                <w:sz w:val="24"/>
                <w:szCs w:val="24"/>
              </w:rPr>
              <w:t>)</w:t>
            </w:r>
            <w:r w:rsidR="00405750" w:rsidRPr="00A1057F">
              <w:rPr>
                <w:b/>
                <w:sz w:val="24"/>
                <w:szCs w:val="24"/>
              </w:rPr>
              <w:t xml:space="preserve">, </w:t>
            </w:r>
            <w:r w:rsidR="00AB341A" w:rsidRPr="00A1057F">
              <w:rPr>
                <w:b/>
                <w:sz w:val="24"/>
                <w:szCs w:val="24"/>
              </w:rPr>
              <w:t>5 (</w:t>
            </w:r>
            <w:r w:rsidR="00405750" w:rsidRPr="00A1057F">
              <w:rPr>
                <w:b/>
                <w:sz w:val="24"/>
                <w:szCs w:val="24"/>
              </w:rPr>
              <w:t xml:space="preserve">Web of </w:t>
            </w:r>
            <w:r w:rsidR="00405750" w:rsidRPr="00D11B14">
              <w:rPr>
                <w:b/>
                <w:sz w:val="24"/>
                <w:szCs w:val="24"/>
              </w:rPr>
              <w:t>Science</w:t>
            </w:r>
            <w:r w:rsidR="00AB341A" w:rsidRPr="00A1057F">
              <w:rPr>
                <w:b/>
                <w:sz w:val="24"/>
                <w:szCs w:val="24"/>
              </w:rPr>
              <w:t>)</w:t>
            </w:r>
            <w:r w:rsidR="00405750" w:rsidRPr="00A1057F">
              <w:rPr>
                <w:sz w:val="24"/>
                <w:szCs w:val="24"/>
              </w:rPr>
              <w:t>.</w:t>
            </w:r>
          </w:p>
        </w:tc>
      </w:tr>
    </w:tbl>
    <w:p w14:paraId="6F208F43" w14:textId="1442AB04" w:rsidR="006B44F4" w:rsidRDefault="006B44F4" w:rsidP="00932E70">
      <w:pPr>
        <w:spacing w:after="0" w:line="240" w:lineRule="auto"/>
        <w:jc w:val="center"/>
        <w:rPr>
          <w:sz w:val="24"/>
          <w:szCs w:val="24"/>
        </w:rPr>
      </w:pPr>
    </w:p>
    <w:p w14:paraId="5CA7730C" w14:textId="77777777" w:rsidR="00391240" w:rsidRPr="00A1057F" w:rsidRDefault="00391240" w:rsidP="00932E70">
      <w:pPr>
        <w:spacing w:after="0" w:line="240" w:lineRule="auto"/>
        <w:jc w:val="center"/>
        <w:rPr>
          <w:sz w:val="24"/>
          <w:szCs w:val="24"/>
        </w:rPr>
      </w:pPr>
    </w:p>
    <w:bookmarkEnd w:id="1"/>
    <w:p w14:paraId="3E628AFD" w14:textId="177E7EEB" w:rsidR="00992C62" w:rsidRDefault="00774CDF" w:rsidP="00036FB5">
      <w:pPr>
        <w:spacing w:after="0" w:line="240" w:lineRule="auto"/>
        <w:ind w:firstLine="284"/>
        <w:jc w:val="both"/>
        <w:rPr>
          <w:sz w:val="24"/>
          <w:szCs w:val="24"/>
          <w:lang w:val="kk-KZ"/>
        </w:rPr>
      </w:pPr>
      <w:r>
        <w:rPr>
          <w:sz w:val="23"/>
          <w:szCs w:val="23"/>
          <w:lang w:val="kk-KZ" w:eastAsia="ko-KR"/>
        </w:rPr>
        <w:t>Директор НИИ химических проблем</w:t>
      </w:r>
      <w:r w:rsidR="006B44F4">
        <w:rPr>
          <w:sz w:val="24"/>
          <w:szCs w:val="24"/>
          <w:lang w:val="kk-KZ"/>
        </w:rPr>
        <w:tab/>
      </w:r>
      <w:r w:rsidR="006B44F4">
        <w:rPr>
          <w:sz w:val="24"/>
          <w:szCs w:val="24"/>
          <w:lang w:val="kk-KZ"/>
        </w:rPr>
        <w:tab/>
      </w:r>
      <w:r w:rsidR="006B44F4">
        <w:rPr>
          <w:sz w:val="24"/>
          <w:szCs w:val="24"/>
          <w:lang w:val="kk-KZ"/>
        </w:rPr>
        <w:tab/>
      </w:r>
      <w:r w:rsidR="006B44F4">
        <w:rPr>
          <w:sz w:val="24"/>
          <w:szCs w:val="24"/>
          <w:lang w:val="kk-KZ"/>
        </w:rPr>
        <w:tab/>
      </w:r>
      <w:r w:rsidR="006B44F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>Тажбаев Е.М.</w:t>
      </w:r>
    </w:p>
    <w:sectPr w:rsidR="00992C62" w:rsidSect="00783A50">
      <w:pgSz w:w="11907" w:h="16839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2A3"/>
    <w:multiLevelType w:val="hybridMultilevel"/>
    <w:tmpl w:val="531CAF98"/>
    <w:lvl w:ilvl="0" w:tplc="BFC44F3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0B21357D"/>
    <w:multiLevelType w:val="hybridMultilevel"/>
    <w:tmpl w:val="671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4B5"/>
    <w:multiLevelType w:val="hybridMultilevel"/>
    <w:tmpl w:val="68FCE378"/>
    <w:lvl w:ilvl="0" w:tplc="AB88217E">
      <w:start w:val="1"/>
      <w:numFmt w:val="decimal"/>
      <w:lvlText w:val="%1)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19BF7105"/>
    <w:multiLevelType w:val="multilevel"/>
    <w:tmpl w:val="43AA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A25E02"/>
    <w:multiLevelType w:val="hybridMultilevel"/>
    <w:tmpl w:val="21A65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1019C"/>
    <w:multiLevelType w:val="hybridMultilevel"/>
    <w:tmpl w:val="3108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3F01"/>
    <w:multiLevelType w:val="hybridMultilevel"/>
    <w:tmpl w:val="2D04611E"/>
    <w:lvl w:ilvl="0" w:tplc="4B8CA3C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77793175"/>
    <w:multiLevelType w:val="hybridMultilevel"/>
    <w:tmpl w:val="B49E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B2C6A"/>
    <w:multiLevelType w:val="hybridMultilevel"/>
    <w:tmpl w:val="A490C2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E8"/>
    <w:rsid w:val="0000331D"/>
    <w:rsid w:val="00006207"/>
    <w:rsid w:val="00012F49"/>
    <w:rsid w:val="00016F5A"/>
    <w:rsid w:val="00017562"/>
    <w:rsid w:val="000177D1"/>
    <w:rsid w:val="000268F8"/>
    <w:rsid w:val="00030442"/>
    <w:rsid w:val="00035812"/>
    <w:rsid w:val="00036FB5"/>
    <w:rsid w:val="00041A30"/>
    <w:rsid w:val="00042845"/>
    <w:rsid w:val="00043F40"/>
    <w:rsid w:val="0005347D"/>
    <w:rsid w:val="000576A5"/>
    <w:rsid w:val="000652F0"/>
    <w:rsid w:val="00074901"/>
    <w:rsid w:val="000A1E67"/>
    <w:rsid w:val="000A7BB6"/>
    <w:rsid w:val="000B5B17"/>
    <w:rsid w:val="000C38BB"/>
    <w:rsid w:val="000C44BA"/>
    <w:rsid w:val="000C61B0"/>
    <w:rsid w:val="000D0A13"/>
    <w:rsid w:val="000E7C57"/>
    <w:rsid w:val="000F0F71"/>
    <w:rsid w:val="000F23B1"/>
    <w:rsid w:val="000F26E4"/>
    <w:rsid w:val="001119B8"/>
    <w:rsid w:val="00117BE6"/>
    <w:rsid w:val="00140161"/>
    <w:rsid w:val="00161CBA"/>
    <w:rsid w:val="001641D2"/>
    <w:rsid w:val="00164A48"/>
    <w:rsid w:val="00165A4E"/>
    <w:rsid w:val="00167B8A"/>
    <w:rsid w:val="0017124F"/>
    <w:rsid w:val="001762C5"/>
    <w:rsid w:val="00186CA1"/>
    <w:rsid w:val="00191051"/>
    <w:rsid w:val="0019603C"/>
    <w:rsid w:val="001B4840"/>
    <w:rsid w:val="001B75A1"/>
    <w:rsid w:val="001C0834"/>
    <w:rsid w:val="001C179C"/>
    <w:rsid w:val="001C4616"/>
    <w:rsid w:val="001D1001"/>
    <w:rsid w:val="001D370E"/>
    <w:rsid w:val="001D48AF"/>
    <w:rsid w:val="001D7678"/>
    <w:rsid w:val="001E00B5"/>
    <w:rsid w:val="001E02FA"/>
    <w:rsid w:val="001E6745"/>
    <w:rsid w:val="001E7011"/>
    <w:rsid w:val="001F053A"/>
    <w:rsid w:val="00200882"/>
    <w:rsid w:val="00212EF0"/>
    <w:rsid w:val="00221780"/>
    <w:rsid w:val="00244A53"/>
    <w:rsid w:val="00246374"/>
    <w:rsid w:val="002526A3"/>
    <w:rsid w:val="00257549"/>
    <w:rsid w:val="0026648A"/>
    <w:rsid w:val="00270287"/>
    <w:rsid w:val="00275447"/>
    <w:rsid w:val="00276AC0"/>
    <w:rsid w:val="00296F85"/>
    <w:rsid w:val="002B4D8F"/>
    <w:rsid w:val="002C00D2"/>
    <w:rsid w:val="002C4CA2"/>
    <w:rsid w:val="002D3A35"/>
    <w:rsid w:val="002D4798"/>
    <w:rsid w:val="002E3E20"/>
    <w:rsid w:val="002F1C65"/>
    <w:rsid w:val="0030203F"/>
    <w:rsid w:val="00302F73"/>
    <w:rsid w:val="0030358E"/>
    <w:rsid w:val="003037BE"/>
    <w:rsid w:val="003038C8"/>
    <w:rsid w:val="00303D91"/>
    <w:rsid w:val="003062D1"/>
    <w:rsid w:val="00311CE1"/>
    <w:rsid w:val="0031515A"/>
    <w:rsid w:val="0032463C"/>
    <w:rsid w:val="00330D61"/>
    <w:rsid w:val="0034432C"/>
    <w:rsid w:val="003607E8"/>
    <w:rsid w:val="00361573"/>
    <w:rsid w:val="0036390A"/>
    <w:rsid w:val="003646E9"/>
    <w:rsid w:val="00377AE4"/>
    <w:rsid w:val="00391240"/>
    <w:rsid w:val="003B129F"/>
    <w:rsid w:val="003B3A94"/>
    <w:rsid w:val="003C4DA9"/>
    <w:rsid w:val="003D6ECD"/>
    <w:rsid w:val="003E427C"/>
    <w:rsid w:val="003F70A7"/>
    <w:rsid w:val="0040506E"/>
    <w:rsid w:val="00405750"/>
    <w:rsid w:val="00427FE8"/>
    <w:rsid w:val="00435330"/>
    <w:rsid w:val="00447D6C"/>
    <w:rsid w:val="00452B12"/>
    <w:rsid w:val="0045530E"/>
    <w:rsid w:val="0045716B"/>
    <w:rsid w:val="00472C67"/>
    <w:rsid w:val="00473787"/>
    <w:rsid w:val="00475ABD"/>
    <w:rsid w:val="00485C68"/>
    <w:rsid w:val="004A546D"/>
    <w:rsid w:val="004A5676"/>
    <w:rsid w:val="004A717D"/>
    <w:rsid w:val="004D60BD"/>
    <w:rsid w:val="004E2B6A"/>
    <w:rsid w:val="004E4E3B"/>
    <w:rsid w:val="004F4330"/>
    <w:rsid w:val="004F79C9"/>
    <w:rsid w:val="005254D8"/>
    <w:rsid w:val="0053043C"/>
    <w:rsid w:val="00532418"/>
    <w:rsid w:val="005338E1"/>
    <w:rsid w:val="00533D54"/>
    <w:rsid w:val="00545E74"/>
    <w:rsid w:val="0055501E"/>
    <w:rsid w:val="0056361D"/>
    <w:rsid w:val="005637B9"/>
    <w:rsid w:val="00564537"/>
    <w:rsid w:val="00564766"/>
    <w:rsid w:val="00571354"/>
    <w:rsid w:val="00573646"/>
    <w:rsid w:val="005872B2"/>
    <w:rsid w:val="0058764B"/>
    <w:rsid w:val="005903F9"/>
    <w:rsid w:val="005A0A8F"/>
    <w:rsid w:val="005A3360"/>
    <w:rsid w:val="005A3A59"/>
    <w:rsid w:val="005A69A7"/>
    <w:rsid w:val="005B2898"/>
    <w:rsid w:val="005B43BC"/>
    <w:rsid w:val="005C30EE"/>
    <w:rsid w:val="005D19BD"/>
    <w:rsid w:val="005D7522"/>
    <w:rsid w:val="005E0530"/>
    <w:rsid w:val="00606712"/>
    <w:rsid w:val="00612E41"/>
    <w:rsid w:val="00613B21"/>
    <w:rsid w:val="00615E4E"/>
    <w:rsid w:val="00622787"/>
    <w:rsid w:val="00630686"/>
    <w:rsid w:val="00640B11"/>
    <w:rsid w:val="00641886"/>
    <w:rsid w:val="00642EE5"/>
    <w:rsid w:val="00643843"/>
    <w:rsid w:val="00643D7D"/>
    <w:rsid w:val="00644F3E"/>
    <w:rsid w:val="00650B3C"/>
    <w:rsid w:val="00650BD4"/>
    <w:rsid w:val="00664E84"/>
    <w:rsid w:val="006745A2"/>
    <w:rsid w:val="006971E0"/>
    <w:rsid w:val="006A205D"/>
    <w:rsid w:val="006A5076"/>
    <w:rsid w:val="006B44F4"/>
    <w:rsid w:val="006C4131"/>
    <w:rsid w:val="006E374C"/>
    <w:rsid w:val="006F20E6"/>
    <w:rsid w:val="006F6AF3"/>
    <w:rsid w:val="006F7C5B"/>
    <w:rsid w:val="00702803"/>
    <w:rsid w:val="0071290F"/>
    <w:rsid w:val="00725EB1"/>
    <w:rsid w:val="00726E75"/>
    <w:rsid w:val="007310F0"/>
    <w:rsid w:val="00731FFD"/>
    <w:rsid w:val="00740736"/>
    <w:rsid w:val="007624C9"/>
    <w:rsid w:val="00767BF1"/>
    <w:rsid w:val="00774CDF"/>
    <w:rsid w:val="00777714"/>
    <w:rsid w:val="007825D6"/>
    <w:rsid w:val="00782F3A"/>
    <w:rsid w:val="00783A50"/>
    <w:rsid w:val="007952C4"/>
    <w:rsid w:val="007A54BF"/>
    <w:rsid w:val="007B209D"/>
    <w:rsid w:val="007B2995"/>
    <w:rsid w:val="007B431E"/>
    <w:rsid w:val="007C492F"/>
    <w:rsid w:val="007D61E2"/>
    <w:rsid w:val="007E70D0"/>
    <w:rsid w:val="007F1631"/>
    <w:rsid w:val="00811DC2"/>
    <w:rsid w:val="0082276B"/>
    <w:rsid w:val="00825D58"/>
    <w:rsid w:val="00833CE2"/>
    <w:rsid w:val="00841269"/>
    <w:rsid w:val="008441FA"/>
    <w:rsid w:val="008540F7"/>
    <w:rsid w:val="00863B53"/>
    <w:rsid w:val="00865E2A"/>
    <w:rsid w:val="00883B9F"/>
    <w:rsid w:val="00885403"/>
    <w:rsid w:val="00885DD7"/>
    <w:rsid w:val="008B4602"/>
    <w:rsid w:val="008B5A94"/>
    <w:rsid w:val="008C2154"/>
    <w:rsid w:val="008C7A61"/>
    <w:rsid w:val="008D4570"/>
    <w:rsid w:val="008F509E"/>
    <w:rsid w:val="009028CB"/>
    <w:rsid w:val="00905502"/>
    <w:rsid w:val="0090702A"/>
    <w:rsid w:val="00912C25"/>
    <w:rsid w:val="00917759"/>
    <w:rsid w:val="00920A0A"/>
    <w:rsid w:val="00927DAF"/>
    <w:rsid w:val="00932E70"/>
    <w:rsid w:val="00944B1C"/>
    <w:rsid w:val="00952F2A"/>
    <w:rsid w:val="009619ED"/>
    <w:rsid w:val="009639F5"/>
    <w:rsid w:val="00992C62"/>
    <w:rsid w:val="00994146"/>
    <w:rsid w:val="00995204"/>
    <w:rsid w:val="0099646C"/>
    <w:rsid w:val="009B42E6"/>
    <w:rsid w:val="009C50E4"/>
    <w:rsid w:val="00A00103"/>
    <w:rsid w:val="00A02602"/>
    <w:rsid w:val="00A0285D"/>
    <w:rsid w:val="00A075DD"/>
    <w:rsid w:val="00A1057F"/>
    <w:rsid w:val="00A11094"/>
    <w:rsid w:val="00A207C7"/>
    <w:rsid w:val="00A2435C"/>
    <w:rsid w:val="00A24B6D"/>
    <w:rsid w:val="00A41A50"/>
    <w:rsid w:val="00A4374A"/>
    <w:rsid w:val="00A51E5F"/>
    <w:rsid w:val="00A54272"/>
    <w:rsid w:val="00A54566"/>
    <w:rsid w:val="00A66D8D"/>
    <w:rsid w:val="00A74FA4"/>
    <w:rsid w:val="00A80EA3"/>
    <w:rsid w:val="00A81FF3"/>
    <w:rsid w:val="00A832D2"/>
    <w:rsid w:val="00A848C2"/>
    <w:rsid w:val="00A872DB"/>
    <w:rsid w:val="00A91DA1"/>
    <w:rsid w:val="00A973AB"/>
    <w:rsid w:val="00AA1560"/>
    <w:rsid w:val="00AA2C01"/>
    <w:rsid w:val="00AA2D79"/>
    <w:rsid w:val="00AB341A"/>
    <w:rsid w:val="00AC0EE5"/>
    <w:rsid w:val="00AC56B0"/>
    <w:rsid w:val="00AD08F9"/>
    <w:rsid w:val="00AD2CDC"/>
    <w:rsid w:val="00AE345E"/>
    <w:rsid w:val="00AE7BC2"/>
    <w:rsid w:val="00AF618B"/>
    <w:rsid w:val="00AF702B"/>
    <w:rsid w:val="00B00C67"/>
    <w:rsid w:val="00B024DA"/>
    <w:rsid w:val="00B122F7"/>
    <w:rsid w:val="00B35B50"/>
    <w:rsid w:val="00B7400A"/>
    <w:rsid w:val="00B83182"/>
    <w:rsid w:val="00B942F2"/>
    <w:rsid w:val="00B96395"/>
    <w:rsid w:val="00B968A8"/>
    <w:rsid w:val="00B96E2E"/>
    <w:rsid w:val="00BA208B"/>
    <w:rsid w:val="00BA3B34"/>
    <w:rsid w:val="00BB031D"/>
    <w:rsid w:val="00BB41B4"/>
    <w:rsid w:val="00BB624D"/>
    <w:rsid w:val="00BC320A"/>
    <w:rsid w:val="00BD7277"/>
    <w:rsid w:val="00BE7D1A"/>
    <w:rsid w:val="00BF454B"/>
    <w:rsid w:val="00C0205B"/>
    <w:rsid w:val="00C03871"/>
    <w:rsid w:val="00C06B47"/>
    <w:rsid w:val="00C11A3D"/>
    <w:rsid w:val="00C13BE3"/>
    <w:rsid w:val="00C14456"/>
    <w:rsid w:val="00C414F4"/>
    <w:rsid w:val="00C41D74"/>
    <w:rsid w:val="00C436E6"/>
    <w:rsid w:val="00C50D99"/>
    <w:rsid w:val="00C51000"/>
    <w:rsid w:val="00C610F7"/>
    <w:rsid w:val="00C646E8"/>
    <w:rsid w:val="00C70B57"/>
    <w:rsid w:val="00C74EEB"/>
    <w:rsid w:val="00C775CD"/>
    <w:rsid w:val="00C84498"/>
    <w:rsid w:val="00C90F9B"/>
    <w:rsid w:val="00C91021"/>
    <w:rsid w:val="00C93AF5"/>
    <w:rsid w:val="00C953CA"/>
    <w:rsid w:val="00CA3FDE"/>
    <w:rsid w:val="00CA72EA"/>
    <w:rsid w:val="00CA763E"/>
    <w:rsid w:val="00CC4193"/>
    <w:rsid w:val="00CD333B"/>
    <w:rsid w:val="00CD4BE1"/>
    <w:rsid w:val="00CF2939"/>
    <w:rsid w:val="00D109AD"/>
    <w:rsid w:val="00D11B14"/>
    <w:rsid w:val="00D15A1C"/>
    <w:rsid w:val="00D322DF"/>
    <w:rsid w:val="00D60212"/>
    <w:rsid w:val="00D61F64"/>
    <w:rsid w:val="00D75347"/>
    <w:rsid w:val="00D76BF1"/>
    <w:rsid w:val="00D80905"/>
    <w:rsid w:val="00D914C5"/>
    <w:rsid w:val="00D97118"/>
    <w:rsid w:val="00D97EE5"/>
    <w:rsid w:val="00DA5689"/>
    <w:rsid w:val="00DE0FC0"/>
    <w:rsid w:val="00DE4B88"/>
    <w:rsid w:val="00DF560A"/>
    <w:rsid w:val="00DF7FEB"/>
    <w:rsid w:val="00E041DF"/>
    <w:rsid w:val="00E1109D"/>
    <w:rsid w:val="00E143BA"/>
    <w:rsid w:val="00E17289"/>
    <w:rsid w:val="00E34750"/>
    <w:rsid w:val="00E4195F"/>
    <w:rsid w:val="00E42688"/>
    <w:rsid w:val="00E42818"/>
    <w:rsid w:val="00E45264"/>
    <w:rsid w:val="00E90D46"/>
    <w:rsid w:val="00E9623E"/>
    <w:rsid w:val="00EB7E8C"/>
    <w:rsid w:val="00EC34AE"/>
    <w:rsid w:val="00EC3971"/>
    <w:rsid w:val="00ED1D71"/>
    <w:rsid w:val="00ED28C7"/>
    <w:rsid w:val="00ED6A0F"/>
    <w:rsid w:val="00EE4FAA"/>
    <w:rsid w:val="00EF4F09"/>
    <w:rsid w:val="00F03003"/>
    <w:rsid w:val="00F0306D"/>
    <w:rsid w:val="00F13D04"/>
    <w:rsid w:val="00F164D1"/>
    <w:rsid w:val="00F16F48"/>
    <w:rsid w:val="00F27ADB"/>
    <w:rsid w:val="00F30C90"/>
    <w:rsid w:val="00F33D24"/>
    <w:rsid w:val="00F402D8"/>
    <w:rsid w:val="00F41CA2"/>
    <w:rsid w:val="00F6169C"/>
    <w:rsid w:val="00F65535"/>
    <w:rsid w:val="00F6622D"/>
    <w:rsid w:val="00F73F3B"/>
    <w:rsid w:val="00F909FD"/>
    <w:rsid w:val="00F91681"/>
    <w:rsid w:val="00F91E00"/>
    <w:rsid w:val="00F9253D"/>
    <w:rsid w:val="00F963F3"/>
    <w:rsid w:val="00FA0FDA"/>
    <w:rsid w:val="00FA1828"/>
    <w:rsid w:val="00FA4464"/>
    <w:rsid w:val="00FA468A"/>
    <w:rsid w:val="00FA5275"/>
    <w:rsid w:val="00FA57E3"/>
    <w:rsid w:val="00FA70D1"/>
    <w:rsid w:val="00FC38D1"/>
    <w:rsid w:val="00FE31D4"/>
    <w:rsid w:val="00FF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70DFA"/>
  <w15:docId w15:val="{EBA9ED4A-1A14-48E2-99DF-F819D3B2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sz w:val="20"/>
      <w:szCs w:val="20"/>
    </w:r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sz w:val="20"/>
      <w:szCs w:val="20"/>
    </w:rPr>
  </w:style>
  <w:style w:type="character" w:customStyle="1" w:styleId="a9">
    <w:name w:val="Заголовок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sid w:val="009028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028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028CB"/>
    <w:pPr>
      <w:jc w:val="center"/>
    </w:pPr>
    <w:rPr>
      <w:sz w:val="18"/>
      <w:szCs w:val="18"/>
    </w:rPr>
  </w:style>
  <w:style w:type="paragraph" w:customStyle="1" w:styleId="DocDefaults">
    <w:name w:val="DocDefaults"/>
    <w:rsid w:val="009028CB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B03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031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rsid w:val="008B4602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932E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932E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80D1-5E20-49D9-B7CC-127CFC7F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50</cp:revision>
  <cp:lastPrinted>2026-07-09T04:08:00Z</cp:lastPrinted>
  <dcterms:created xsi:type="dcterms:W3CDTF">2024-10-30T06:09:00Z</dcterms:created>
  <dcterms:modified xsi:type="dcterms:W3CDTF">2026-07-09T04:08:00Z</dcterms:modified>
</cp:coreProperties>
</file>