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08" w:rsidRDefault="00A76E08" w:rsidP="0054276C">
      <w:pPr>
        <w:spacing w:after="0" w:line="240" w:lineRule="auto"/>
        <w:ind w:firstLine="623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Приложение 1</w:t>
      </w:r>
      <w:bookmarkStart w:id="0" w:name="_GoBack"/>
      <w:bookmarkEnd w:id="0"/>
    </w:p>
    <w:p w:rsidR="0054276C" w:rsidRDefault="0054276C" w:rsidP="0054276C">
      <w:pPr>
        <w:spacing w:after="0" w:line="240" w:lineRule="auto"/>
        <w:ind w:firstLine="623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к Правилам присвоения</w:t>
      </w:r>
    </w:p>
    <w:p w:rsidR="0054276C" w:rsidRDefault="0054276C" w:rsidP="0054276C">
      <w:pPr>
        <w:spacing w:after="0" w:line="240" w:lineRule="auto"/>
        <w:ind w:firstLine="623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val="ru-RU"/>
        </w:rPr>
        <w:t>ученых званий (ассоциированный</w:t>
      </w:r>
      <w:proofErr w:type="gramEnd"/>
    </w:p>
    <w:p w:rsidR="0054276C" w:rsidRDefault="0054276C" w:rsidP="0054276C">
      <w:pPr>
        <w:spacing w:after="0" w:line="240" w:lineRule="auto"/>
        <w:ind w:firstLine="6237"/>
        <w:jc w:val="right"/>
        <w:outlineLvl w:val="0"/>
        <w:rPr>
          <w:b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профессор (доцент), профессор)</w:t>
      </w:r>
    </w:p>
    <w:p w:rsidR="0054276C" w:rsidRDefault="0054276C" w:rsidP="0054276C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</w:p>
    <w:p w:rsidR="0054276C" w:rsidRDefault="0054276C" w:rsidP="0054276C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Справка</w:t>
      </w:r>
    </w:p>
    <w:p w:rsidR="0054276C" w:rsidRDefault="0054276C" w:rsidP="0054276C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bookmarkStart w:id="1" w:name="z49"/>
      <w:r>
        <w:rPr>
          <w:color w:val="000000"/>
          <w:sz w:val="24"/>
          <w:szCs w:val="24"/>
          <w:lang w:val="ru-RU"/>
        </w:rPr>
        <w:t xml:space="preserve">о соискателе ученого звания </w:t>
      </w:r>
      <w:r>
        <w:rPr>
          <w:color w:val="000000"/>
          <w:sz w:val="24"/>
          <w:szCs w:val="24"/>
          <w:u w:val="single"/>
          <w:lang w:val="ru-RU"/>
        </w:rPr>
        <w:t>профессора</w:t>
      </w:r>
    </w:p>
    <w:p w:rsidR="0054276C" w:rsidRDefault="0054276C" w:rsidP="0054276C">
      <w:pPr>
        <w:spacing w:after="0" w:line="240" w:lineRule="auto"/>
        <w:jc w:val="center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ru-RU"/>
        </w:rPr>
        <w:t>по научному направлению 50200 – Экономика и бизнес</w:t>
      </w:r>
    </w:p>
    <w:p w:rsidR="0054276C" w:rsidRDefault="0054276C" w:rsidP="0054276C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3963"/>
        <w:gridCol w:w="5386"/>
      </w:tblGrid>
      <w:tr w:rsidR="0054276C" w:rsidTr="0054276C">
        <w:trPr>
          <w:trHeight w:val="48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Калкабаева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Гаухар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Муратовна</w:t>
            </w:r>
          </w:p>
        </w:tc>
      </w:tr>
      <w:tr w:rsidR="0054276C" w:rsidRPr="00A76E08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>
              <w:rPr>
                <w:color w:val="000000"/>
                <w:sz w:val="24"/>
                <w:szCs w:val="24"/>
              </w:rPr>
              <w:t>PhD</w:t>
            </w:r>
            <w:r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>
              <w:rPr>
                <w:color w:val="000000"/>
                <w:sz w:val="24"/>
                <w:szCs w:val="24"/>
              </w:rPr>
              <w:t>PhD</w:t>
            </w:r>
            <w:r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>
              <w:rPr>
                <w:color w:val="000000"/>
                <w:sz w:val="24"/>
                <w:szCs w:val="24"/>
              </w:rPr>
              <w:t>PhD</w:t>
            </w:r>
            <w:r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98" w:right="126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Кандидат экономических наук</w:t>
            </w:r>
          </w:p>
          <w:p w:rsidR="0054276C" w:rsidRDefault="0054276C">
            <w:pPr>
              <w:spacing w:after="0" w:line="240" w:lineRule="auto"/>
              <w:ind w:left="98" w:right="126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(диплом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ҒК</w:t>
            </w:r>
            <w:proofErr w:type="gramEnd"/>
            <w:r>
              <w:rPr>
                <w:color w:val="000000"/>
                <w:sz w:val="24"/>
                <w:szCs w:val="24"/>
                <w:lang w:val="kk-KZ"/>
              </w:rPr>
              <w:t>№00</w:t>
            </w:r>
            <w:r>
              <w:rPr>
                <w:color w:val="000000"/>
                <w:sz w:val="24"/>
                <w:szCs w:val="24"/>
                <w:lang w:val="ru-RU"/>
              </w:rPr>
              <w:t>10786</w:t>
            </w:r>
            <w:r>
              <w:rPr>
                <w:color w:val="000000"/>
                <w:sz w:val="24"/>
                <w:szCs w:val="24"/>
                <w:lang w:val="kk-KZ"/>
              </w:rPr>
              <w:t>, ВАК МОН РК от 17.10.2003 г., протокол №12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4276C" w:rsidRPr="00A76E08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Ассоциированный профессор (доцент)</w:t>
            </w:r>
          </w:p>
          <w:p w:rsidR="0054276C" w:rsidRDefault="0054276C">
            <w:pPr>
              <w:spacing w:after="0" w:line="240" w:lineRule="auto"/>
              <w:ind w:left="98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(диплом №0000518, </w:t>
            </w:r>
            <w:r>
              <w:rPr>
                <w:color w:val="000000"/>
                <w:sz w:val="24"/>
                <w:szCs w:val="24"/>
                <w:lang w:val="kk-KZ"/>
              </w:rPr>
              <w:t>ККСОН МОН РК от 14.12.2018 г., приказ №1996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4276C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3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54276C" w:rsidRPr="00A76E08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98" w:right="12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Профессор кафедры «Финансы» Карагандинского университета имени академика Е.А. Букетова (приказ №350 л/с от 01.09.2023 г.)</w:t>
            </w:r>
          </w:p>
        </w:tc>
      </w:tr>
      <w:tr w:rsidR="0054276C" w:rsidRPr="00A76E08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–26 лет 1 месяц, в том числе в должности профессора 2 года.</w:t>
            </w:r>
          </w:p>
        </w:tc>
      </w:tr>
      <w:tr w:rsidR="0054276C" w:rsidRPr="00A76E08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2" w:name="z50" w:colFirst="2" w:colLast="2"/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34" w:right="1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Всего – 50, в изданиях рекомендуемых уполномоченным органом – </w:t>
            </w:r>
            <w:r>
              <w:rPr>
                <w:bCs/>
                <w:sz w:val="24"/>
                <w:szCs w:val="24"/>
                <w:lang w:val="kk-KZ"/>
              </w:rPr>
              <w:t>21</w:t>
            </w:r>
            <w:r>
              <w:rPr>
                <w:sz w:val="24"/>
                <w:szCs w:val="24"/>
                <w:lang w:val="kk-KZ"/>
              </w:rPr>
              <w:t xml:space="preserve">, 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Аналитикс)), Scopus (Скопус) или JSTOR (ДЖЕЙСТОР) </w:t>
            </w:r>
            <w:r>
              <w:rPr>
                <w:b/>
                <w:sz w:val="24"/>
                <w:szCs w:val="24"/>
                <w:lang w:val="kk-KZ"/>
              </w:rPr>
              <w:t>– 5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bookmarkEnd w:id="2"/>
      <w:tr w:rsidR="0054276C" w:rsidRPr="00A76E08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последние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76C" w:rsidRDefault="0054276C">
            <w:pPr>
              <w:spacing w:after="0" w:line="240" w:lineRule="auto"/>
              <w:ind w:left="129"/>
              <w:jc w:val="both"/>
              <w:rPr>
                <w:color w:val="000000"/>
                <w:sz w:val="24"/>
                <w:szCs w:val="24"/>
                <w:lang w:val="ru-RU" w:eastAsia="ko-KR"/>
              </w:rPr>
            </w:pPr>
            <w:r>
              <w:rPr>
                <w:sz w:val="24"/>
                <w:szCs w:val="24"/>
                <w:lang w:val="ru-RU"/>
              </w:rPr>
              <w:t>Монография: Инвестиционное обеспечение экономики Казахстана: теоретические подходы и эмпирический анализ</w:t>
            </w:r>
            <w:r>
              <w:rPr>
                <w:color w:val="000000"/>
                <w:sz w:val="24"/>
                <w:szCs w:val="24"/>
                <w:lang w:val="kk-KZ"/>
              </w:rPr>
              <w:t>. -</w:t>
            </w:r>
            <w:r>
              <w:rPr>
                <w:color w:val="000000"/>
                <w:sz w:val="24"/>
                <w:szCs w:val="24"/>
                <w:lang w:val="ru-RU" w:eastAsia="ko-KR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Караганда: Издательство Карагандинского университета имени академика Е.А. Букетова, 2025. – 301 с. </w:t>
            </w:r>
            <w:r>
              <w:rPr>
                <w:color w:val="000000"/>
                <w:sz w:val="24"/>
                <w:szCs w:val="24"/>
                <w:lang w:eastAsia="ko-KR"/>
              </w:rPr>
              <w:t>ISBN</w:t>
            </w:r>
            <w:r>
              <w:rPr>
                <w:color w:val="000000"/>
                <w:sz w:val="24"/>
                <w:szCs w:val="24"/>
                <w:lang w:val="ru-RU" w:eastAsia="ko-KR"/>
              </w:rPr>
              <w:t xml:space="preserve"> 978-601-362-358-0</w:t>
            </w:r>
          </w:p>
          <w:p w:rsidR="0054276C" w:rsidRDefault="005427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54276C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>
              <w:rPr>
                <w:color w:val="000000"/>
                <w:sz w:val="24"/>
                <w:szCs w:val="24"/>
              </w:rPr>
              <w:t>PhD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), доктора по профилю) или академическая степень доктора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философии (</w:t>
            </w:r>
            <w:r>
              <w:rPr>
                <w:color w:val="000000"/>
                <w:sz w:val="24"/>
                <w:szCs w:val="24"/>
              </w:rPr>
              <w:t>PhD</w:t>
            </w:r>
            <w:r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>
              <w:rPr>
                <w:color w:val="000000"/>
                <w:sz w:val="24"/>
                <w:szCs w:val="24"/>
              </w:rPr>
              <w:t>PhD</w:t>
            </w:r>
            <w:r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54276C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34" w:right="1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4276C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-</w:t>
            </w:r>
          </w:p>
        </w:tc>
      </w:tr>
      <w:tr w:rsidR="0054276C" w:rsidTr="0054276C">
        <w:trPr>
          <w:trHeight w:val="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Дополнительная</w:t>
            </w:r>
            <w:proofErr w:type="spellEnd"/>
          </w:p>
          <w:p w:rsidR="0054276C" w:rsidRDefault="0054276C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76C" w:rsidRDefault="0054276C">
            <w:pPr>
              <w:tabs>
                <w:tab w:val="left" w:pos="289"/>
                <w:tab w:val="left" w:pos="451"/>
              </w:tabs>
              <w:spacing w:after="0" w:line="240" w:lineRule="auto"/>
              <w:ind w:left="13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h-index: 4 (Scopus)</w:t>
            </w:r>
          </w:p>
          <w:p w:rsidR="0054276C" w:rsidRDefault="0054276C">
            <w:pPr>
              <w:tabs>
                <w:tab w:val="left" w:pos="289"/>
                <w:tab w:val="left" w:pos="4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4276C" w:rsidRDefault="0054276C" w:rsidP="0054276C">
      <w:pPr>
        <w:spacing w:after="0" w:line="240" w:lineRule="auto"/>
        <w:rPr>
          <w:sz w:val="24"/>
          <w:szCs w:val="24"/>
        </w:rPr>
      </w:pPr>
    </w:p>
    <w:p w:rsidR="0054276C" w:rsidRDefault="0054276C" w:rsidP="0054276C">
      <w:pPr>
        <w:spacing w:after="0" w:line="240" w:lineRule="auto"/>
        <w:rPr>
          <w:sz w:val="24"/>
          <w:szCs w:val="24"/>
        </w:rPr>
      </w:pPr>
    </w:p>
    <w:p w:rsidR="0054276C" w:rsidRDefault="0054276C" w:rsidP="0054276C">
      <w:pPr>
        <w:spacing w:after="0" w:line="240" w:lineRule="auto"/>
        <w:rPr>
          <w:sz w:val="24"/>
          <w:szCs w:val="24"/>
        </w:rPr>
      </w:pPr>
    </w:p>
    <w:p w:rsidR="0054276C" w:rsidRDefault="0054276C" w:rsidP="0054276C">
      <w:pPr>
        <w:spacing w:after="0" w:line="240" w:lineRule="auto"/>
        <w:rPr>
          <w:sz w:val="24"/>
          <w:szCs w:val="24"/>
        </w:rPr>
      </w:pPr>
    </w:p>
    <w:p w:rsidR="0054276C" w:rsidRDefault="0054276C" w:rsidP="0054276C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Директор Департамента науки </w:t>
      </w:r>
      <w:bookmarkStart w:id="3" w:name="z68"/>
      <w:bookmarkEnd w:id="3"/>
      <w:r>
        <w:rPr>
          <w:sz w:val="24"/>
          <w:szCs w:val="24"/>
          <w:lang w:val="ru-RU"/>
        </w:rPr>
        <w:t xml:space="preserve">                                            С.С. </w:t>
      </w:r>
      <w:proofErr w:type="spellStart"/>
      <w:r>
        <w:rPr>
          <w:sz w:val="24"/>
          <w:szCs w:val="24"/>
          <w:lang w:val="ru-RU"/>
        </w:rPr>
        <w:t>Касымов</w:t>
      </w:r>
      <w:proofErr w:type="spellEnd"/>
    </w:p>
    <w:p w:rsidR="00A93CCD" w:rsidRPr="0054276C" w:rsidRDefault="00A93CCD">
      <w:pPr>
        <w:rPr>
          <w:lang w:val="ru-RU"/>
        </w:rPr>
      </w:pPr>
    </w:p>
    <w:sectPr w:rsidR="00A93CCD" w:rsidRPr="0054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A4"/>
    <w:rsid w:val="002B1CA4"/>
    <w:rsid w:val="004C1654"/>
    <w:rsid w:val="0054276C"/>
    <w:rsid w:val="00A76E08"/>
    <w:rsid w:val="00A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6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6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3</cp:revision>
  <dcterms:created xsi:type="dcterms:W3CDTF">2025-10-24T07:17:00Z</dcterms:created>
  <dcterms:modified xsi:type="dcterms:W3CDTF">2025-10-24T07:30:00Z</dcterms:modified>
</cp:coreProperties>
</file>